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128E" w:rsidRDefault="002D128E" w:rsidP="00661941">
      <w:pPr>
        <w:shd w:val="clear" w:color="auto" w:fill="FFFFFF"/>
        <w:rPr>
          <w:rFonts w:ascii="Helvetica" w:hAnsi="Helvetica" w:cs="Helvetica"/>
          <w:b/>
          <w:bCs/>
          <w:color w:val="000000"/>
          <w:sz w:val="20"/>
          <w:szCs w:val="20"/>
          <w:u w:val="single"/>
        </w:rPr>
      </w:pPr>
      <w:r>
        <w:rPr>
          <w:noProof/>
        </w:rPr>
        <w:drawing>
          <wp:inline distT="0" distB="0" distL="0" distR="0" wp14:anchorId="27D7F66B" wp14:editId="231529C9">
            <wp:extent cx="1532890" cy="344805"/>
            <wp:effectExtent l="0" t="0" r="0" b="0"/>
            <wp:docPr id="29" name="Immagine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2890" cy="344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128E" w:rsidRDefault="002D128E" w:rsidP="00661941">
      <w:pPr>
        <w:shd w:val="clear" w:color="auto" w:fill="FFFFFF"/>
        <w:rPr>
          <w:rFonts w:ascii="Helvetica" w:hAnsi="Helvetica" w:cs="Helvetica"/>
          <w:b/>
          <w:bCs/>
          <w:color w:val="000000"/>
          <w:sz w:val="20"/>
          <w:szCs w:val="20"/>
          <w:u w:val="single"/>
        </w:rPr>
      </w:pPr>
    </w:p>
    <w:p w:rsidR="00661941" w:rsidRDefault="00ED44F8" w:rsidP="00661941">
      <w:pPr>
        <w:shd w:val="clear" w:color="auto" w:fill="FFFFFF"/>
        <w:rPr>
          <w:rFonts w:ascii="Helvetica" w:hAnsi="Helvetica" w:cs="Helvetica"/>
          <w:b/>
          <w:bCs/>
          <w:color w:val="000000"/>
          <w:sz w:val="20"/>
          <w:szCs w:val="20"/>
          <w:u w:val="single"/>
        </w:rPr>
      </w:pPr>
      <w:r>
        <w:rPr>
          <w:rFonts w:ascii="Helvetica" w:hAnsi="Helvetica" w:cs="Helvetica"/>
          <w:b/>
          <w:bCs/>
          <w:color w:val="000000"/>
          <w:sz w:val="20"/>
          <w:szCs w:val="20"/>
          <w:u w:val="single"/>
        </w:rPr>
        <w:t>IL CLOU</w:t>
      </w:r>
      <w:r w:rsidR="002D128E">
        <w:rPr>
          <w:rFonts w:ascii="Helvetica" w:hAnsi="Helvetica" w:cs="Helvetica"/>
          <w:b/>
          <w:bCs/>
          <w:color w:val="000000"/>
          <w:sz w:val="20"/>
          <w:szCs w:val="20"/>
          <w:u w:val="single"/>
        </w:rPr>
        <w:t>D OGGI SECONDO VEM SISTEMI: I VANTAGGI, LE DIFFICOLTA’, COME SCEGLIERE IL GIUSTO FORNITORE,</w:t>
      </w:r>
      <w:r w:rsidR="004C6886">
        <w:rPr>
          <w:rFonts w:ascii="Helvetica" w:hAnsi="Helvetica" w:cs="Helvetica"/>
          <w:b/>
          <w:bCs/>
          <w:color w:val="000000"/>
          <w:sz w:val="20"/>
          <w:szCs w:val="20"/>
          <w:u w:val="single"/>
        </w:rPr>
        <w:t xml:space="preserve"> L’APPROCCIO PIU’ DIFFUSO,</w:t>
      </w:r>
      <w:bookmarkStart w:id="0" w:name="_GoBack"/>
      <w:bookmarkEnd w:id="0"/>
      <w:r w:rsidR="002D128E">
        <w:rPr>
          <w:rFonts w:ascii="Helvetica" w:hAnsi="Helvetica" w:cs="Helvetica"/>
          <w:b/>
          <w:bCs/>
          <w:color w:val="000000"/>
          <w:sz w:val="20"/>
          <w:szCs w:val="20"/>
          <w:u w:val="single"/>
        </w:rPr>
        <w:t xml:space="preserve"> L’IBRIDO  E IL RAPPORTO CON IOT E AI</w:t>
      </w:r>
    </w:p>
    <w:p w:rsidR="00ED44F8" w:rsidRDefault="00ED44F8" w:rsidP="00661941">
      <w:pPr>
        <w:shd w:val="clear" w:color="auto" w:fill="FFFFFF"/>
        <w:rPr>
          <w:rFonts w:ascii="Helvetica" w:hAnsi="Helvetica" w:cs="Helvetica"/>
          <w:b/>
          <w:bCs/>
          <w:color w:val="000000"/>
          <w:sz w:val="20"/>
          <w:szCs w:val="20"/>
          <w:u w:val="single"/>
        </w:rPr>
      </w:pPr>
    </w:p>
    <w:p w:rsidR="00ED44F8" w:rsidRDefault="00ED44F8" w:rsidP="00661941">
      <w:pPr>
        <w:shd w:val="clear" w:color="auto" w:fill="FFFFFF"/>
        <w:rPr>
          <w:rFonts w:ascii="Helvetica" w:hAnsi="Helvetica" w:cs="Helvetica"/>
          <w:b/>
          <w:bCs/>
          <w:color w:val="000000"/>
          <w:sz w:val="20"/>
          <w:szCs w:val="20"/>
          <w:u w:val="single"/>
        </w:rPr>
      </w:pPr>
      <w:r>
        <w:rPr>
          <w:rFonts w:ascii="Helvetica" w:hAnsi="Helvetica" w:cs="Helvetica"/>
          <w:b/>
          <w:bCs/>
          <w:color w:val="000000"/>
          <w:sz w:val="20"/>
          <w:szCs w:val="20"/>
          <w:u w:val="single"/>
        </w:rPr>
        <w:t>Marco Bubani, Direttore Innovazione VEM sistemi.</w:t>
      </w:r>
    </w:p>
    <w:p w:rsidR="00E35965" w:rsidRDefault="00E35965" w:rsidP="00661941">
      <w:pPr>
        <w:shd w:val="clear" w:color="auto" w:fill="FFFFFF"/>
        <w:rPr>
          <w:rFonts w:ascii="Helvetica" w:hAnsi="Helvetica" w:cs="Helvetica"/>
          <w:b/>
          <w:bCs/>
          <w:color w:val="000000"/>
          <w:sz w:val="20"/>
          <w:szCs w:val="20"/>
          <w:u w:val="single"/>
        </w:rPr>
      </w:pPr>
    </w:p>
    <w:p w:rsidR="005C756E" w:rsidRPr="002D128E" w:rsidRDefault="005C756E" w:rsidP="002D128E">
      <w:p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</w:rPr>
      </w:pPr>
      <w:r w:rsidRPr="001A1EDB">
        <w:rPr>
          <w:rFonts w:ascii="Calibri" w:hAnsi="Calibri" w:cs="Calibri"/>
          <w:iCs/>
        </w:rPr>
        <w:t>I</w:t>
      </w:r>
      <w:r w:rsidRPr="001A1EDB">
        <w:rPr>
          <w:rFonts w:ascii="Calibri" w:hAnsi="Calibri" w:cs="Calibri"/>
          <w:iCs/>
        </w:rPr>
        <w:t xml:space="preserve">l mercato del cloud </w:t>
      </w:r>
      <w:r w:rsidRPr="001A1EDB">
        <w:rPr>
          <w:rFonts w:ascii="Calibri" w:hAnsi="Calibri" w:cs="Calibri"/>
          <w:iCs/>
        </w:rPr>
        <w:t xml:space="preserve">oggi </w:t>
      </w:r>
      <w:r w:rsidRPr="001A1EDB">
        <w:rPr>
          <w:rFonts w:ascii="Calibri" w:hAnsi="Calibri" w:cs="Calibri"/>
          <w:iCs/>
        </w:rPr>
        <w:t>non è più una nicchia ristretta, ma un mercato consolidato che ha raggiunto ormai una certa dimensione</w:t>
      </w:r>
      <w:r w:rsidRPr="001A1EDB">
        <w:rPr>
          <w:rFonts w:ascii="Calibri" w:hAnsi="Calibri" w:cs="Calibri"/>
          <w:iCs/>
        </w:rPr>
        <w:t xml:space="preserve"> come dimostrano le </w:t>
      </w:r>
      <w:r w:rsidR="00E35965" w:rsidRPr="001A1EDB">
        <w:rPr>
          <w:rFonts w:ascii="Calibri" w:eastAsia="Times New Roman" w:hAnsi="Calibri" w:cs="Calibri"/>
        </w:rPr>
        <w:t>stime dell’</w:t>
      </w:r>
      <w:hyperlink r:id="rId9" w:tgtFrame="_blank" w:tooltip="Visita l'Osservatorio Cloud Transformation" w:history="1">
        <w:r w:rsidR="00E35965" w:rsidRPr="001A1EDB">
          <w:rPr>
            <w:rFonts w:ascii="Calibri" w:eastAsia="Times New Roman" w:hAnsi="Calibri" w:cs="Calibri"/>
            <w:u w:val="single"/>
          </w:rPr>
          <w:t>Osservatorio Cloud Transformation</w:t>
        </w:r>
      </w:hyperlink>
      <w:r w:rsidR="00E35965" w:rsidRPr="001A1EDB">
        <w:rPr>
          <w:rFonts w:ascii="Calibri" w:eastAsia="Times New Roman" w:hAnsi="Calibri" w:cs="Calibri"/>
        </w:rPr>
        <w:t>, nel 2018 </w:t>
      </w:r>
      <w:r w:rsidR="00E35965" w:rsidRPr="001A1EDB">
        <w:rPr>
          <w:rFonts w:ascii="Calibri" w:eastAsia="Times New Roman" w:hAnsi="Calibri" w:cs="Calibri"/>
          <w:b/>
          <w:bCs/>
        </w:rPr>
        <w:t>il mercato Cloud italiano ha toccato quota 2,34 miliardi di euro</w:t>
      </w:r>
      <w:r w:rsidR="00E35965" w:rsidRPr="001A1EDB">
        <w:rPr>
          <w:rFonts w:ascii="Calibri" w:eastAsia="Times New Roman" w:hAnsi="Calibri" w:cs="Calibri"/>
        </w:rPr>
        <w:t xml:space="preserve">, in crescita del 19% rispetto all’anno precedente (1,97 miliardi). </w:t>
      </w:r>
      <w:r w:rsidR="002D128E">
        <w:rPr>
          <w:rFonts w:ascii="Calibri" w:eastAsia="Times New Roman" w:hAnsi="Calibri" w:cs="Calibri"/>
        </w:rPr>
        <w:t>Ma, quali sono i</w:t>
      </w:r>
      <w:r w:rsidRPr="002D128E">
        <w:rPr>
          <w:rFonts w:ascii="Calibri" w:eastAsia="Times New Roman" w:hAnsi="Calibri" w:cs="Calibri"/>
        </w:rPr>
        <w:t xml:space="preserve"> principali vantaggi del cloud</w:t>
      </w:r>
      <w:r w:rsidR="002D128E" w:rsidRPr="002D128E">
        <w:rPr>
          <w:rFonts w:ascii="Calibri" w:eastAsia="Times New Roman" w:hAnsi="Calibri" w:cs="Calibri"/>
        </w:rPr>
        <w:t>?</w:t>
      </w:r>
    </w:p>
    <w:p w:rsidR="005B5C40" w:rsidRPr="001A1EDB" w:rsidRDefault="00661941" w:rsidP="001A1EDB">
      <w:pPr>
        <w:shd w:val="clear" w:color="auto" w:fill="FFFFFF"/>
        <w:spacing w:after="240"/>
        <w:jc w:val="both"/>
        <w:rPr>
          <w:rFonts w:ascii="Calibri" w:hAnsi="Calibri" w:cs="Calibri"/>
          <w:i/>
          <w:iCs/>
        </w:rPr>
      </w:pPr>
      <w:r w:rsidRPr="001A1EDB">
        <w:rPr>
          <w:rFonts w:ascii="Calibri" w:hAnsi="Calibri" w:cs="Calibri"/>
          <w:iCs/>
        </w:rPr>
        <w:t xml:space="preserve">Il cloud è un fantastico abilitatore digitale. Da molti viene definito “la cassetta degli attrezzi dell’innovazione” ed è una definizione che </w:t>
      </w:r>
      <w:r w:rsidR="00E35965" w:rsidRPr="001A1EDB">
        <w:rPr>
          <w:rFonts w:ascii="Calibri" w:hAnsi="Calibri" w:cs="Calibri"/>
          <w:iCs/>
        </w:rPr>
        <w:t xml:space="preserve">personalmente </w:t>
      </w:r>
      <w:r w:rsidRPr="001A1EDB">
        <w:rPr>
          <w:rFonts w:ascii="Calibri" w:hAnsi="Calibri" w:cs="Calibri"/>
          <w:iCs/>
        </w:rPr>
        <w:t xml:space="preserve">condivido. La velocità con </w:t>
      </w:r>
      <w:r w:rsidR="00C3533A" w:rsidRPr="001A1EDB">
        <w:rPr>
          <w:rFonts w:ascii="Calibri" w:hAnsi="Calibri" w:cs="Calibri"/>
          <w:iCs/>
        </w:rPr>
        <w:t xml:space="preserve">cui </w:t>
      </w:r>
      <w:r w:rsidRPr="001A1EDB">
        <w:rPr>
          <w:rFonts w:ascii="Calibri" w:hAnsi="Calibri" w:cs="Calibri"/>
          <w:iCs/>
        </w:rPr>
        <w:t xml:space="preserve">i cloud provider rendono disponibili nuovi servizi e tecnologie o aggiornano quelli esistenti è ormai elevatissima e sta ulteriormente accelerando. </w:t>
      </w:r>
      <w:r w:rsidR="00C3533A" w:rsidRPr="001A1EDB">
        <w:rPr>
          <w:rFonts w:ascii="Calibri" w:hAnsi="Calibri" w:cs="Calibri"/>
          <w:iCs/>
        </w:rPr>
        <w:t>È</w:t>
      </w:r>
      <w:r w:rsidRPr="001A1EDB">
        <w:rPr>
          <w:rFonts w:ascii="Calibri" w:hAnsi="Calibri" w:cs="Calibri"/>
          <w:iCs/>
        </w:rPr>
        <w:t xml:space="preserve"> possibile scegliere fra servizi di basso livello con i quali costruire soluzioni proprie oppure applicazioni complete</w:t>
      </w:r>
      <w:r w:rsidR="00C3533A" w:rsidRPr="001A1EDB">
        <w:rPr>
          <w:rFonts w:ascii="Calibri" w:hAnsi="Calibri" w:cs="Calibri"/>
          <w:iCs/>
        </w:rPr>
        <w:t xml:space="preserve"> fruibili </w:t>
      </w:r>
      <w:r w:rsidRPr="001A1EDB">
        <w:rPr>
          <w:rFonts w:ascii="Calibri" w:hAnsi="Calibri" w:cs="Calibri"/>
          <w:iCs/>
        </w:rPr>
        <w:t xml:space="preserve">come prodotto finito </w:t>
      </w:r>
      <w:r w:rsidR="00C3533A" w:rsidRPr="001A1EDB">
        <w:rPr>
          <w:rFonts w:ascii="Calibri" w:hAnsi="Calibri" w:cs="Calibri"/>
          <w:iCs/>
        </w:rPr>
        <w:t xml:space="preserve">o </w:t>
      </w:r>
      <w:r w:rsidR="007B640A" w:rsidRPr="001A1EDB">
        <w:rPr>
          <w:rFonts w:ascii="Calibri" w:hAnsi="Calibri" w:cs="Calibri"/>
          <w:iCs/>
        </w:rPr>
        <w:t xml:space="preserve">come </w:t>
      </w:r>
      <w:r w:rsidRPr="001A1EDB">
        <w:rPr>
          <w:rFonts w:ascii="Calibri" w:hAnsi="Calibri" w:cs="Calibri"/>
          <w:iCs/>
        </w:rPr>
        <w:t>“servizio” come avviene per l’erogazione della corrente elettrica, dell’acqua o del gas.</w:t>
      </w:r>
    </w:p>
    <w:p w:rsidR="00D30C62" w:rsidRPr="001A1EDB" w:rsidRDefault="005B5C40" w:rsidP="001A1EDB">
      <w:pPr>
        <w:shd w:val="clear" w:color="auto" w:fill="FFFFFF"/>
        <w:spacing w:after="240"/>
        <w:jc w:val="both"/>
        <w:rPr>
          <w:rFonts w:ascii="Calibri" w:hAnsi="Calibri" w:cs="Calibri"/>
          <w:iCs/>
        </w:rPr>
      </w:pPr>
      <w:r w:rsidRPr="001A1EDB">
        <w:rPr>
          <w:rFonts w:ascii="Calibri" w:hAnsi="Calibri" w:cs="Calibri"/>
          <w:iCs/>
        </w:rPr>
        <w:t>I principali vantaggi che derivano dall’impiego del cloud sono molteplici</w:t>
      </w:r>
      <w:r w:rsidR="00D30C62" w:rsidRPr="001A1EDB">
        <w:rPr>
          <w:rFonts w:ascii="Calibri" w:hAnsi="Calibri" w:cs="Calibri"/>
          <w:iCs/>
        </w:rPr>
        <w:t>. Fra i più evidenti</w:t>
      </w:r>
      <w:r w:rsidR="007B640A" w:rsidRPr="001A1EDB">
        <w:rPr>
          <w:rFonts w:ascii="Calibri" w:hAnsi="Calibri" w:cs="Calibri"/>
          <w:iCs/>
        </w:rPr>
        <w:t xml:space="preserve"> citiamo</w:t>
      </w:r>
      <w:r w:rsidR="00D30C62" w:rsidRPr="001A1EDB">
        <w:rPr>
          <w:rFonts w:ascii="Calibri" w:hAnsi="Calibri" w:cs="Calibri"/>
          <w:iCs/>
        </w:rPr>
        <w:t>:</w:t>
      </w:r>
    </w:p>
    <w:p w:rsidR="005B5C40" w:rsidRPr="001A1EDB" w:rsidRDefault="005B5C40" w:rsidP="001A1EDB">
      <w:pPr>
        <w:pStyle w:val="Paragrafoelenco"/>
        <w:numPr>
          <w:ilvl w:val="0"/>
          <w:numId w:val="18"/>
        </w:numPr>
        <w:shd w:val="clear" w:color="auto" w:fill="FFFFFF"/>
        <w:spacing w:after="240"/>
        <w:jc w:val="both"/>
        <w:rPr>
          <w:rFonts w:ascii="Calibri" w:hAnsi="Calibri" w:cs="Calibri"/>
          <w:iCs/>
          <w:color w:val="auto"/>
          <w:szCs w:val="24"/>
        </w:rPr>
      </w:pPr>
      <w:r w:rsidRPr="001A1EDB">
        <w:rPr>
          <w:rFonts w:ascii="Calibri" w:hAnsi="Calibri" w:cs="Calibri"/>
          <w:iCs/>
          <w:color w:val="auto"/>
          <w:szCs w:val="24"/>
        </w:rPr>
        <w:t xml:space="preserve">La rapidità con </w:t>
      </w:r>
      <w:r w:rsidR="00C3533A" w:rsidRPr="001A1EDB">
        <w:rPr>
          <w:rFonts w:ascii="Calibri" w:hAnsi="Calibri" w:cs="Calibri"/>
          <w:iCs/>
          <w:color w:val="auto"/>
          <w:szCs w:val="24"/>
        </w:rPr>
        <w:t xml:space="preserve">cui </w:t>
      </w:r>
      <w:r w:rsidRPr="001A1EDB">
        <w:rPr>
          <w:rFonts w:ascii="Calibri" w:hAnsi="Calibri" w:cs="Calibri"/>
          <w:iCs/>
          <w:color w:val="auto"/>
          <w:szCs w:val="24"/>
        </w:rPr>
        <w:t>è possibile accedere a servizi e applicazioni che prima necessitavano di pianificazione e approvvigionamento di hardware e software infrastrutturali</w:t>
      </w:r>
    </w:p>
    <w:p w:rsidR="005B5C40" w:rsidRPr="001A1EDB" w:rsidRDefault="005B5C40" w:rsidP="001A1EDB">
      <w:pPr>
        <w:pStyle w:val="Paragrafoelenco"/>
        <w:numPr>
          <w:ilvl w:val="0"/>
          <w:numId w:val="18"/>
        </w:numPr>
        <w:shd w:val="clear" w:color="auto" w:fill="FFFFFF"/>
        <w:spacing w:after="240"/>
        <w:jc w:val="both"/>
        <w:rPr>
          <w:rFonts w:ascii="Calibri" w:hAnsi="Calibri" w:cs="Calibri"/>
          <w:iCs/>
          <w:color w:val="auto"/>
          <w:szCs w:val="24"/>
        </w:rPr>
      </w:pPr>
      <w:r w:rsidRPr="001A1EDB">
        <w:rPr>
          <w:rFonts w:ascii="Calibri" w:hAnsi="Calibri" w:cs="Calibri"/>
          <w:iCs/>
          <w:color w:val="auto"/>
          <w:szCs w:val="24"/>
        </w:rPr>
        <w:t>La scalabilità con la quale il cloud è in grado di seguire la crescita o il ridimensionamento dell’azienda</w:t>
      </w:r>
    </w:p>
    <w:p w:rsidR="00661941" w:rsidRPr="001A1EDB" w:rsidRDefault="005B5C40" w:rsidP="001A1EDB">
      <w:pPr>
        <w:pStyle w:val="Paragrafoelenco"/>
        <w:numPr>
          <w:ilvl w:val="0"/>
          <w:numId w:val="18"/>
        </w:numPr>
        <w:shd w:val="clear" w:color="auto" w:fill="FFFFFF"/>
        <w:spacing w:after="240"/>
        <w:jc w:val="both"/>
        <w:rPr>
          <w:rFonts w:ascii="Calibri" w:hAnsi="Calibri" w:cs="Calibri"/>
          <w:iCs/>
          <w:color w:val="auto"/>
          <w:szCs w:val="24"/>
        </w:rPr>
      </w:pPr>
      <w:r w:rsidRPr="001A1EDB">
        <w:rPr>
          <w:rFonts w:ascii="Calibri" w:hAnsi="Calibri" w:cs="Calibri"/>
          <w:iCs/>
          <w:color w:val="auto"/>
          <w:szCs w:val="24"/>
        </w:rPr>
        <w:t>La possibilità di erogare servizi world wide per chi ha organizzazioni diffuse in tutto il mondo come le grandi reti di negozi o le società multinazionali</w:t>
      </w:r>
    </w:p>
    <w:p w:rsidR="00D30C62" w:rsidRPr="001A1EDB" w:rsidRDefault="00E35965" w:rsidP="001A1EDB">
      <w:pPr>
        <w:shd w:val="clear" w:color="auto" w:fill="FFFFFF"/>
        <w:spacing w:after="240"/>
        <w:jc w:val="both"/>
        <w:rPr>
          <w:rFonts w:ascii="Calibri" w:hAnsi="Calibri" w:cs="Calibri"/>
          <w:iCs/>
        </w:rPr>
      </w:pPr>
      <w:r w:rsidRPr="001A1EDB">
        <w:rPr>
          <w:rFonts w:ascii="Calibri" w:hAnsi="Calibri" w:cs="Calibri"/>
          <w:i/>
          <w:iCs/>
        </w:rPr>
        <w:t xml:space="preserve">Tuttavia l’utilizzo del cloud implica </w:t>
      </w:r>
      <w:r w:rsidRPr="001A1EDB">
        <w:rPr>
          <w:rFonts w:ascii="Calibri" w:hAnsi="Calibri" w:cs="Calibri"/>
          <w:iCs/>
        </w:rPr>
        <w:t xml:space="preserve">particolari </w:t>
      </w:r>
      <w:r w:rsidR="00D30C62" w:rsidRPr="001A1EDB">
        <w:rPr>
          <w:rFonts w:ascii="Calibri" w:hAnsi="Calibri" w:cs="Calibri"/>
          <w:iCs/>
        </w:rPr>
        <w:t>punti di attenzione e</w:t>
      </w:r>
      <w:r w:rsidRPr="001A1EDB">
        <w:rPr>
          <w:rFonts w:ascii="Calibri" w:hAnsi="Calibri" w:cs="Calibri"/>
          <w:iCs/>
        </w:rPr>
        <w:t xml:space="preserve"> un</w:t>
      </w:r>
      <w:r w:rsidR="00D30C62" w:rsidRPr="001A1EDB">
        <w:rPr>
          <w:rFonts w:ascii="Calibri" w:hAnsi="Calibri" w:cs="Calibri"/>
          <w:iCs/>
        </w:rPr>
        <w:t xml:space="preserve"> cambio di approccio.</w:t>
      </w:r>
      <w:r w:rsidRPr="001A1EDB">
        <w:rPr>
          <w:rFonts w:ascii="Calibri" w:hAnsi="Calibri" w:cs="Calibri"/>
          <w:iCs/>
        </w:rPr>
        <w:t xml:space="preserve"> </w:t>
      </w:r>
      <w:r w:rsidR="00D30C62" w:rsidRPr="001A1EDB">
        <w:rPr>
          <w:rFonts w:ascii="Calibri" w:hAnsi="Calibri" w:cs="Calibri"/>
          <w:iCs/>
        </w:rPr>
        <w:t>Sicurezza e GDPR vanno attentamente considerati quando si valuta il passaggio verso il cloud. I big provider, hanno tutti datacenter localizzati in UE e forniscono garanzie di sicurezza e affidabilità esemplari</w:t>
      </w:r>
      <w:r w:rsidR="00C3533A" w:rsidRPr="001A1EDB">
        <w:rPr>
          <w:rFonts w:ascii="Calibri" w:hAnsi="Calibri" w:cs="Calibri"/>
          <w:iCs/>
        </w:rPr>
        <w:t>. Tuttavia,</w:t>
      </w:r>
      <w:r w:rsidR="00D30C62" w:rsidRPr="001A1EDB">
        <w:rPr>
          <w:rFonts w:ascii="Calibri" w:hAnsi="Calibri" w:cs="Calibri"/>
          <w:iCs/>
        </w:rPr>
        <w:t xml:space="preserve"> ciò potrebbe non essere sufficiente a garantire il trattamento dei dati nel totale rispetto dei provvedimenti. Anche la parte contrattuale non è da trascurare, tenuto conto che le dimensioni dei colossi digitali non favoriscono grande apertura nella negoziazione delle clausole che regolamentano il rapporto fra le parti.</w:t>
      </w:r>
      <w:r w:rsidR="007B640A" w:rsidRPr="001A1EDB">
        <w:rPr>
          <w:rFonts w:ascii="Calibri" w:hAnsi="Calibri" w:cs="Calibri"/>
          <w:iCs/>
        </w:rPr>
        <w:br/>
      </w:r>
      <w:r w:rsidR="00D30C62" w:rsidRPr="001A1EDB">
        <w:rPr>
          <w:rFonts w:ascii="Calibri" w:hAnsi="Calibri" w:cs="Calibri"/>
          <w:iCs/>
        </w:rPr>
        <w:t>Il cambio di approccio dalla logica di costi certi</w:t>
      </w:r>
      <w:r w:rsidR="005C756E" w:rsidRPr="001A1EDB">
        <w:rPr>
          <w:rFonts w:ascii="Calibri" w:hAnsi="Calibri" w:cs="Calibri"/>
          <w:iCs/>
        </w:rPr>
        <w:t>,</w:t>
      </w:r>
      <w:r w:rsidR="00D30C62" w:rsidRPr="001A1EDB">
        <w:rPr>
          <w:rFonts w:ascii="Calibri" w:hAnsi="Calibri" w:cs="Calibri"/>
          <w:iCs/>
        </w:rPr>
        <w:t xml:space="preserve"> fatti ad investimento</w:t>
      </w:r>
      <w:r w:rsidR="005C756E" w:rsidRPr="001A1EDB">
        <w:rPr>
          <w:rFonts w:ascii="Calibri" w:hAnsi="Calibri" w:cs="Calibri"/>
          <w:iCs/>
        </w:rPr>
        <w:t>,</w:t>
      </w:r>
      <w:r w:rsidR="00D30C62" w:rsidRPr="001A1EDB">
        <w:rPr>
          <w:rFonts w:ascii="Calibri" w:hAnsi="Calibri" w:cs="Calibri"/>
          <w:iCs/>
        </w:rPr>
        <w:t xml:space="preserve"> ad una logica di costi a consumo può essere una barriera.</w:t>
      </w:r>
      <w:r w:rsidRPr="001A1EDB">
        <w:rPr>
          <w:rFonts w:ascii="Calibri" w:hAnsi="Calibri" w:cs="Calibri"/>
          <w:iCs/>
        </w:rPr>
        <w:t xml:space="preserve"> </w:t>
      </w:r>
      <w:r w:rsidR="00C3533A" w:rsidRPr="001A1EDB">
        <w:rPr>
          <w:rFonts w:ascii="Calibri" w:hAnsi="Calibri" w:cs="Calibri"/>
          <w:iCs/>
        </w:rPr>
        <w:t>È</w:t>
      </w:r>
      <w:r w:rsidR="00D30C62" w:rsidRPr="001A1EDB">
        <w:rPr>
          <w:rFonts w:ascii="Calibri" w:hAnsi="Calibri" w:cs="Calibri"/>
          <w:iCs/>
        </w:rPr>
        <w:t xml:space="preserve"> raro che un’organizzazione lavori </w:t>
      </w:r>
      <w:r w:rsidR="00C3533A" w:rsidRPr="001A1EDB">
        <w:rPr>
          <w:rFonts w:ascii="Calibri" w:hAnsi="Calibri" w:cs="Calibri"/>
          <w:iCs/>
        </w:rPr>
        <w:t xml:space="preserve">esclusivamente </w:t>
      </w:r>
      <w:r w:rsidR="00D30C62" w:rsidRPr="001A1EDB">
        <w:rPr>
          <w:rFonts w:ascii="Calibri" w:hAnsi="Calibri" w:cs="Calibri"/>
          <w:iCs/>
        </w:rPr>
        <w:t>in cloud</w:t>
      </w:r>
      <w:r w:rsidR="00C3533A" w:rsidRPr="001A1EDB">
        <w:rPr>
          <w:rFonts w:ascii="Calibri" w:hAnsi="Calibri" w:cs="Calibri"/>
          <w:iCs/>
        </w:rPr>
        <w:t>: l</w:t>
      </w:r>
      <w:r w:rsidR="00D30C62" w:rsidRPr="001A1EDB">
        <w:rPr>
          <w:rFonts w:ascii="Calibri" w:hAnsi="Calibri" w:cs="Calibri"/>
          <w:iCs/>
        </w:rPr>
        <w:t>e soluzioni sono quasi sempre ibride con una parte d</w:t>
      </w:r>
      <w:r w:rsidR="00C3533A" w:rsidRPr="001A1EDB">
        <w:rPr>
          <w:rFonts w:ascii="Calibri" w:hAnsi="Calibri" w:cs="Calibri"/>
          <w:iCs/>
        </w:rPr>
        <w:t>i</w:t>
      </w:r>
      <w:r w:rsidR="00D30C62" w:rsidRPr="001A1EDB">
        <w:rPr>
          <w:rFonts w:ascii="Calibri" w:hAnsi="Calibri" w:cs="Calibri"/>
          <w:iCs/>
        </w:rPr>
        <w:t xml:space="preserve"> servizi digitali in casa e una parte in cloud. Questo è l’approccio più diffuso e </w:t>
      </w:r>
      <w:r w:rsidR="00C3533A" w:rsidRPr="001A1EDB">
        <w:rPr>
          <w:rFonts w:ascii="Calibri" w:hAnsi="Calibri" w:cs="Calibri"/>
          <w:iCs/>
        </w:rPr>
        <w:t xml:space="preserve">che </w:t>
      </w:r>
      <w:r w:rsidR="00D30C62" w:rsidRPr="001A1EDB">
        <w:rPr>
          <w:rFonts w:ascii="Calibri" w:hAnsi="Calibri" w:cs="Calibri"/>
          <w:iCs/>
        </w:rPr>
        <w:t>richiede</w:t>
      </w:r>
      <w:r w:rsidR="007B640A" w:rsidRPr="001A1EDB">
        <w:rPr>
          <w:rFonts w:ascii="Calibri" w:hAnsi="Calibri" w:cs="Calibri"/>
          <w:iCs/>
        </w:rPr>
        <w:t xml:space="preserve"> </w:t>
      </w:r>
      <w:r w:rsidR="00D30C62" w:rsidRPr="001A1EDB">
        <w:rPr>
          <w:rFonts w:ascii="Calibri" w:hAnsi="Calibri" w:cs="Calibri"/>
          <w:iCs/>
        </w:rPr>
        <w:t>un</w:t>
      </w:r>
      <w:r w:rsidR="00C3533A" w:rsidRPr="001A1EDB">
        <w:rPr>
          <w:rFonts w:ascii="Calibri" w:hAnsi="Calibri" w:cs="Calibri"/>
          <w:iCs/>
        </w:rPr>
        <w:t>’</w:t>
      </w:r>
      <w:r w:rsidR="00D30C62" w:rsidRPr="001A1EDB">
        <w:rPr>
          <w:rFonts w:ascii="Calibri" w:hAnsi="Calibri" w:cs="Calibri"/>
          <w:iCs/>
        </w:rPr>
        <w:t>elevata capacità di integrazione fra due mondi</w:t>
      </w:r>
      <w:r w:rsidR="00C3533A" w:rsidRPr="001A1EDB">
        <w:rPr>
          <w:rFonts w:ascii="Calibri" w:hAnsi="Calibri" w:cs="Calibri"/>
          <w:iCs/>
        </w:rPr>
        <w:t xml:space="preserve"> complessi</w:t>
      </w:r>
      <w:r w:rsidR="005F48F8" w:rsidRPr="001A1EDB">
        <w:rPr>
          <w:rFonts w:ascii="Calibri" w:hAnsi="Calibri" w:cs="Calibri"/>
          <w:iCs/>
        </w:rPr>
        <w:t>.</w:t>
      </w:r>
    </w:p>
    <w:p w:rsidR="00661941" w:rsidRPr="001A1EDB" w:rsidRDefault="00E35965" w:rsidP="001A1EDB">
      <w:pPr>
        <w:shd w:val="clear" w:color="auto" w:fill="FFFFFF"/>
        <w:spacing w:after="240"/>
        <w:jc w:val="both"/>
        <w:rPr>
          <w:rFonts w:ascii="Calibri" w:hAnsi="Calibri" w:cs="Calibri"/>
        </w:rPr>
      </w:pPr>
      <w:r w:rsidRPr="001A1EDB">
        <w:rPr>
          <w:rFonts w:ascii="Calibri" w:hAnsi="Calibri" w:cs="Calibri"/>
          <w:iCs/>
        </w:rPr>
        <w:t xml:space="preserve">È </w:t>
      </w:r>
      <w:r w:rsidR="00C3533A" w:rsidRPr="001A1EDB">
        <w:rPr>
          <w:rFonts w:ascii="Calibri" w:hAnsi="Calibri" w:cs="Calibri"/>
          <w:iCs/>
        </w:rPr>
        <w:t xml:space="preserve">importante prendere in considerazione il </w:t>
      </w:r>
      <w:r w:rsidR="004825BE" w:rsidRPr="001A1EDB">
        <w:rPr>
          <w:rFonts w:ascii="Calibri" w:hAnsi="Calibri" w:cs="Calibri"/>
          <w:iCs/>
        </w:rPr>
        <w:t>lock</w:t>
      </w:r>
      <w:r w:rsidR="007B640A" w:rsidRPr="001A1EDB">
        <w:rPr>
          <w:rFonts w:ascii="Calibri" w:hAnsi="Calibri" w:cs="Calibri"/>
          <w:iCs/>
        </w:rPr>
        <w:t>-</w:t>
      </w:r>
      <w:r w:rsidR="004825BE" w:rsidRPr="001A1EDB">
        <w:rPr>
          <w:rFonts w:ascii="Calibri" w:hAnsi="Calibri" w:cs="Calibri"/>
          <w:iCs/>
        </w:rPr>
        <w:t>in che alcuni servizi proprietari generano</w:t>
      </w:r>
      <w:r w:rsidR="00C3533A" w:rsidRPr="001A1EDB">
        <w:rPr>
          <w:rFonts w:ascii="Calibri" w:hAnsi="Calibri" w:cs="Calibri"/>
          <w:iCs/>
        </w:rPr>
        <w:t>: s</w:t>
      </w:r>
      <w:r w:rsidR="004825BE" w:rsidRPr="001A1EDB">
        <w:rPr>
          <w:rFonts w:ascii="Calibri" w:hAnsi="Calibri" w:cs="Calibri"/>
          <w:iCs/>
        </w:rPr>
        <w:t xml:space="preserve">e si vuole mantenere un certo grado di libertà dal cloud provider è </w:t>
      </w:r>
      <w:r w:rsidR="00C3533A" w:rsidRPr="001A1EDB">
        <w:rPr>
          <w:rFonts w:ascii="Calibri" w:hAnsi="Calibri" w:cs="Calibri"/>
          <w:iCs/>
        </w:rPr>
        <w:t xml:space="preserve">un aspetto da non sottovalutare. </w:t>
      </w:r>
    </w:p>
    <w:p w:rsidR="005C756E" w:rsidRPr="001A1EDB" w:rsidRDefault="009E5E22" w:rsidP="001A1EDB">
      <w:pPr>
        <w:shd w:val="clear" w:color="auto" w:fill="FFFFFF"/>
        <w:spacing w:after="240"/>
        <w:jc w:val="both"/>
        <w:rPr>
          <w:rFonts w:ascii="Calibri" w:hAnsi="Calibri" w:cs="Calibri"/>
          <w:iCs/>
        </w:rPr>
      </w:pPr>
      <w:r w:rsidRPr="001A1EDB">
        <w:rPr>
          <w:rFonts w:ascii="Calibri" w:hAnsi="Calibri" w:cs="Calibri"/>
          <w:iCs/>
        </w:rPr>
        <w:lastRenderedPageBreak/>
        <w:t>Le aziende, pur comprendendo i punti di attenzione e il cambio di approccio necessario ad affrontare questo nuovo paradigma, non sono più disposte a rinunciare ai vantaggi che il cloud offre.</w:t>
      </w:r>
      <w:r w:rsidR="001A1EDB" w:rsidRPr="001A1EDB">
        <w:rPr>
          <w:rFonts w:ascii="Calibri" w:hAnsi="Calibri" w:cs="Calibri"/>
          <w:iCs/>
        </w:rPr>
        <w:t xml:space="preserve"> </w:t>
      </w:r>
      <w:r w:rsidR="00751BF7" w:rsidRPr="001A1EDB">
        <w:rPr>
          <w:rFonts w:ascii="Calibri" w:hAnsi="Calibri" w:cs="Calibri"/>
          <w:iCs/>
        </w:rPr>
        <w:t>U</w:t>
      </w:r>
      <w:r w:rsidRPr="001A1EDB">
        <w:rPr>
          <w:rFonts w:ascii="Calibri" w:hAnsi="Calibri" w:cs="Calibri"/>
          <w:iCs/>
        </w:rPr>
        <w:t>na l</w:t>
      </w:r>
      <w:r w:rsidR="00751BF7" w:rsidRPr="001A1EDB">
        <w:rPr>
          <w:rFonts w:ascii="Calibri" w:hAnsi="Calibri" w:cs="Calibri"/>
          <w:iCs/>
        </w:rPr>
        <w:t>arghissima percentuale di CIO europei</w:t>
      </w:r>
      <w:r w:rsidRPr="001A1EDB">
        <w:rPr>
          <w:rFonts w:ascii="Calibri" w:hAnsi="Calibri" w:cs="Calibri"/>
          <w:iCs/>
        </w:rPr>
        <w:t xml:space="preserve"> ha di</w:t>
      </w:r>
      <w:r w:rsidR="00751BF7" w:rsidRPr="001A1EDB">
        <w:rPr>
          <w:rFonts w:ascii="Calibri" w:hAnsi="Calibri" w:cs="Calibri"/>
          <w:iCs/>
        </w:rPr>
        <w:t>chiarato recentemente a Gartner una diminuzione degli investimenti in DataCenter locali e un conseguente aumento di risorse investite in servizi cloud.</w:t>
      </w:r>
      <w:r w:rsidR="005C756E" w:rsidRPr="001A1EDB">
        <w:rPr>
          <w:rFonts w:ascii="Calibri" w:hAnsi="Calibri" w:cs="Calibri"/>
          <w:iCs/>
        </w:rPr>
        <w:t xml:space="preserve"> </w:t>
      </w:r>
      <w:r w:rsidR="005C756E" w:rsidRPr="001A1EDB">
        <w:rPr>
          <w:rFonts w:ascii="Calibri" w:hAnsi="Calibri" w:cs="Calibri"/>
          <w:iCs/>
        </w:rPr>
        <w:t>Le nuove generazioni di CIO sono sicuramente più culturalmente propense a “consumare” IT in cloud.</w:t>
      </w:r>
    </w:p>
    <w:p w:rsidR="001A1EDB" w:rsidRPr="001A1EDB" w:rsidRDefault="005C756E" w:rsidP="001A1EDB">
      <w:pPr>
        <w:shd w:val="clear" w:color="auto" w:fill="FFFFFF"/>
        <w:spacing w:after="240"/>
        <w:jc w:val="both"/>
        <w:rPr>
          <w:rFonts w:ascii="Calibri" w:hAnsi="Calibri" w:cs="Calibri"/>
          <w:iCs/>
        </w:rPr>
      </w:pPr>
      <w:r w:rsidRPr="001A1EDB">
        <w:rPr>
          <w:rFonts w:ascii="Calibri" w:hAnsi="Calibri" w:cs="Calibri"/>
          <w:iCs/>
        </w:rPr>
        <w:t>Inoltre, in base all’esperienza di VEM sistemi c</w:t>
      </w:r>
      <w:r w:rsidR="009E5E22" w:rsidRPr="001A1EDB">
        <w:rPr>
          <w:rFonts w:ascii="Calibri" w:hAnsi="Calibri" w:cs="Calibri"/>
          <w:iCs/>
        </w:rPr>
        <w:t>apita sempre più spesso di trovare affermazioni come “Cloud First” nelle richieste di progetto delle aziende</w:t>
      </w:r>
      <w:r w:rsidR="00517B71" w:rsidRPr="001A1EDB">
        <w:rPr>
          <w:rFonts w:ascii="Calibri" w:hAnsi="Calibri" w:cs="Calibri"/>
          <w:iCs/>
        </w:rPr>
        <w:t xml:space="preserve">, che prima di </w:t>
      </w:r>
      <w:r w:rsidR="009E5E22" w:rsidRPr="001A1EDB">
        <w:rPr>
          <w:rFonts w:ascii="Calibri" w:hAnsi="Calibri" w:cs="Calibri"/>
          <w:iCs/>
        </w:rPr>
        <w:t xml:space="preserve">fare un investimento IT valutano l’opzione cloud. </w:t>
      </w:r>
      <w:r w:rsidR="00517B71" w:rsidRPr="001A1EDB">
        <w:rPr>
          <w:rFonts w:ascii="Calibri" w:hAnsi="Calibri" w:cs="Calibri"/>
          <w:iCs/>
        </w:rPr>
        <w:t xml:space="preserve">Dall’altro canto, </w:t>
      </w:r>
      <w:r w:rsidR="009E5E22" w:rsidRPr="001A1EDB">
        <w:rPr>
          <w:rFonts w:ascii="Calibri" w:hAnsi="Calibri" w:cs="Calibri"/>
          <w:iCs/>
        </w:rPr>
        <w:t xml:space="preserve">chi ha già fatto la scelta di avere una parte del sistema informativo in cloud, si aspetta tutti i servizi a corredo anche in quell’ambiente (sicurezza, backup, monitoraggio, controllo </w:t>
      </w:r>
      <w:r w:rsidR="001A1EDB" w:rsidRPr="001A1EDB">
        <w:rPr>
          <w:rFonts w:ascii="Calibri" w:hAnsi="Calibri" w:cs="Calibri"/>
          <w:iCs/>
        </w:rPr>
        <w:t>solo per citarne alcuni</w:t>
      </w:r>
      <w:r w:rsidR="009E5E22" w:rsidRPr="001A1EDB">
        <w:rPr>
          <w:rFonts w:ascii="Calibri" w:hAnsi="Calibri" w:cs="Calibri"/>
          <w:iCs/>
        </w:rPr>
        <w:t>)</w:t>
      </w:r>
      <w:r w:rsidR="001A1EDB" w:rsidRPr="001A1EDB">
        <w:rPr>
          <w:rFonts w:ascii="Calibri" w:hAnsi="Calibri" w:cs="Calibri"/>
          <w:iCs/>
        </w:rPr>
        <w:t xml:space="preserve">. </w:t>
      </w:r>
    </w:p>
    <w:p w:rsidR="00661941" w:rsidRPr="001A1EDB" w:rsidRDefault="005C756E" w:rsidP="001A1EDB">
      <w:pPr>
        <w:shd w:val="clear" w:color="auto" w:fill="FFFFFF"/>
        <w:spacing w:after="240"/>
        <w:jc w:val="both"/>
        <w:rPr>
          <w:rFonts w:ascii="Calibri" w:hAnsi="Calibri" w:cs="Calibri"/>
          <w:b/>
          <w:bCs/>
          <w:iCs/>
        </w:rPr>
      </w:pPr>
      <w:r w:rsidRPr="001A1EDB">
        <w:rPr>
          <w:rFonts w:ascii="Calibri" w:hAnsi="Calibri" w:cs="Calibri"/>
          <w:b/>
          <w:bCs/>
        </w:rPr>
        <w:t>La scelta del cloud provider: gli aspetti di cui tenere conto</w:t>
      </w:r>
    </w:p>
    <w:p w:rsidR="005C756E" w:rsidRPr="001A1EDB" w:rsidRDefault="00ED44F8" w:rsidP="001A1EDB">
      <w:pPr>
        <w:shd w:val="clear" w:color="auto" w:fill="FFFFFF"/>
        <w:spacing w:after="240"/>
        <w:jc w:val="both"/>
        <w:rPr>
          <w:rFonts w:ascii="Calibri" w:hAnsi="Calibri" w:cs="Calibri"/>
        </w:rPr>
      </w:pPr>
      <w:r w:rsidRPr="001A1EDB">
        <w:rPr>
          <w:rFonts w:ascii="Calibri" w:hAnsi="Calibri" w:cs="Calibri"/>
          <w:iCs/>
        </w:rPr>
        <w:t>Scegliendo</w:t>
      </w:r>
      <w:r w:rsidR="00661941" w:rsidRPr="001A1EDB">
        <w:rPr>
          <w:rFonts w:ascii="Calibri" w:hAnsi="Calibri" w:cs="Calibri"/>
          <w:iCs/>
        </w:rPr>
        <w:t xml:space="preserve"> un Cloud provider, </w:t>
      </w:r>
      <w:r w:rsidRPr="001A1EDB">
        <w:rPr>
          <w:rFonts w:ascii="Calibri" w:hAnsi="Calibri" w:cs="Calibri"/>
          <w:iCs/>
        </w:rPr>
        <w:t>g</w:t>
      </w:r>
      <w:r w:rsidR="004825BE" w:rsidRPr="001A1EDB">
        <w:rPr>
          <w:rFonts w:ascii="Calibri" w:hAnsi="Calibri" w:cs="Calibri"/>
          <w:iCs/>
        </w:rPr>
        <w:t>li aspetti di cui tener conto sono davvero tanti e</w:t>
      </w:r>
      <w:r w:rsidR="00517B71" w:rsidRPr="001A1EDB">
        <w:rPr>
          <w:rFonts w:ascii="Calibri" w:hAnsi="Calibri" w:cs="Calibri"/>
          <w:iCs/>
        </w:rPr>
        <w:t xml:space="preserve"> variano a seconda </w:t>
      </w:r>
      <w:r w:rsidR="004825BE" w:rsidRPr="001A1EDB">
        <w:rPr>
          <w:rFonts w:ascii="Calibri" w:hAnsi="Calibri" w:cs="Calibri"/>
          <w:iCs/>
        </w:rPr>
        <w:t xml:space="preserve">del servizio che si sta considerando. Se </w:t>
      </w:r>
      <w:r w:rsidR="00517B71" w:rsidRPr="001A1EDB">
        <w:rPr>
          <w:rFonts w:ascii="Calibri" w:hAnsi="Calibri" w:cs="Calibri"/>
          <w:iCs/>
        </w:rPr>
        <w:t>si parla di</w:t>
      </w:r>
      <w:r w:rsidR="004825BE" w:rsidRPr="001A1EDB">
        <w:rPr>
          <w:rFonts w:ascii="Calibri" w:hAnsi="Calibri" w:cs="Calibri"/>
          <w:iCs/>
        </w:rPr>
        <w:t xml:space="preserve"> “big digital”, ognuno ha le sue peculiarità ed è più forte su alcuni aspetti rispetto ad altri. Per esempio</w:t>
      </w:r>
      <w:r w:rsidR="00517B71" w:rsidRPr="001A1EDB">
        <w:rPr>
          <w:rFonts w:ascii="Calibri" w:hAnsi="Calibri" w:cs="Calibri"/>
          <w:iCs/>
        </w:rPr>
        <w:t xml:space="preserve">, </w:t>
      </w:r>
      <w:r w:rsidR="005702CE" w:rsidRPr="001A1EDB">
        <w:rPr>
          <w:rFonts w:ascii="Calibri" w:hAnsi="Calibri" w:cs="Calibri"/>
          <w:iCs/>
        </w:rPr>
        <w:t>c’è chi ha servi</w:t>
      </w:r>
      <w:r w:rsidR="00F54C59" w:rsidRPr="001A1EDB">
        <w:rPr>
          <w:rFonts w:ascii="Calibri" w:hAnsi="Calibri" w:cs="Calibri"/>
          <w:iCs/>
        </w:rPr>
        <w:t>zi</w:t>
      </w:r>
      <w:r w:rsidR="005702CE" w:rsidRPr="001A1EDB">
        <w:rPr>
          <w:rFonts w:ascii="Calibri" w:hAnsi="Calibri" w:cs="Calibri"/>
          <w:iCs/>
        </w:rPr>
        <w:t xml:space="preserve"> di analisi dei dati più sviluppati e chi ha integrazioni con sistemi tradizionali più spinti di altri. In generale</w:t>
      </w:r>
      <w:r w:rsidR="00517B71" w:rsidRPr="001A1EDB">
        <w:rPr>
          <w:rFonts w:ascii="Calibri" w:hAnsi="Calibri" w:cs="Calibri"/>
          <w:iCs/>
        </w:rPr>
        <w:t>,</w:t>
      </w:r>
      <w:r w:rsidR="005702CE" w:rsidRPr="001A1EDB">
        <w:rPr>
          <w:rFonts w:ascii="Calibri" w:hAnsi="Calibri" w:cs="Calibri"/>
          <w:iCs/>
        </w:rPr>
        <w:t xml:space="preserve"> il consiglio è di affidarsi a un Cloud System Integrator</w:t>
      </w:r>
      <w:r w:rsidR="00517B71" w:rsidRPr="001A1EDB">
        <w:rPr>
          <w:rFonts w:ascii="Calibri" w:hAnsi="Calibri" w:cs="Calibri"/>
          <w:iCs/>
        </w:rPr>
        <w:t xml:space="preserve"> in grado di </w:t>
      </w:r>
      <w:r w:rsidR="005702CE" w:rsidRPr="001A1EDB">
        <w:rPr>
          <w:rFonts w:ascii="Calibri" w:hAnsi="Calibri" w:cs="Calibri"/>
          <w:iCs/>
        </w:rPr>
        <w:t>accompagnare l’azienda nel suo personale percorso verso il cloud.</w:t>
      </w:r>
      <w:r w:rsidR="004825BE" w:rsidRPr="001A1EDB">
        <w:rPr>
          <w:rFonts w:ascii="Calibri" w:hAnsi="Calibri" w:cs="Calibri"/>
          <w:iCs/>
        </w:rPr>
        <w:t xml:space="preserve">  </w:t>
      </w:r>
      <w:r w:rsidR="00336E79" w:rsidRPr="001A1EDB">
        <w:rPr>
          <w:rFonts w:ascii="Calibri" w:hAnsi="Calibri" w:cs="Calibri"/>
          <w:iCs/>
        </w:rPr>
        <w:t>Inoltre, sono da analizzare anche il livello di affidabilità del provider, la gestione degli aspetti legati alla sicurezza e i servizi messi a disposizione.</w:t>
      </w:r>
      <w:r w:rsidR="005C756E" w:rsidRPr="001A1EDB">
        <w:rPr>
          <w:rFonts w:ascii="Calibri" w:hAnsi="Calibri" w:cs="Calibri"/>
          <w:iCs/>
        </w:rPr>
        <w:t xml:space="preserve"> </w:t>
      </w:r>
      <w:r w:rsidR="005C756E" w:rsidRPr="001A1EDB">
        <w:rPr>
          <w:rFonts w:ascii="Calibri" w:hAnsi="Calibri" w:cs="Calibri"/>
          <w:iCs/>
        </w:rPr>
        <w:t xml:space="preserve">Ormai tutti i principali provider offrono servizi di sicurezza, riservatezza e tutela del dato tecnicamente molto avanzati e certificati da innumerevoli analisti internazionali (servizi di crittografia, segregazione, monitoraggio degli accessi, autenticazioni a più fattori etc.). Più complesso invece è garantire il rispetto delle normative legate a policy comportamentali che sono slegate dalla mera componente tecnologica. </w:t>
      </w:r>
    </w:p>
    <w:p w:rsidR="005C756E" w:rsidRPr="001A1EDB" w:rsidRDefault="007B6023" w:rsidP="001A1EDB">
      <w:pPr>
        <w:shd w:val="clear" w:color="auto" w:fill="FFFFFF"/>
        <w:jc w:val="both"/>
        <w:rPr>
          <w:rFonts w:ascii="Calibri" w:hAnsi="Calibri" w:cs="Calibri"/>
          <w:b/>
          <w:bCs/>
        </w:rPr>
      </w:pPr>
      <w:r w:rsidRPr="001A1EDB">
        <w:rPr>
          <w:rFonts w:ascii="Calibri" w:hAnsi="Calibri" w:cs="Calibri"/>
          <w:b/>
          <w:bCs/>
        </w:rPr>
        <w:t>Il cloud ibrido</w:t>
      </w:r>
    </w:p>
    <w:p w:rsidR="007B6023" w:rsidRPr="001A1EDB" w:rsidRDefault="007B6023" w:rsidP="001A1EDB">
      <w:pPr>
        <w:shd w:val="clear" w:color="auto" w:fill="FFFFFF"/>
        <w:jc w:val="both"/>
        <w:rPr>
          <w:rFonts w:ascii="Calibri" w:hAnsi="Calibri" w:cs="Calibri"/>
          <w:i/>
          <w:iCs/>
        </w:rPr>
      </w:pPr>
    </w:p>
    <w:p w:rsidR="007B6023" w:rsidRPr="001A1EDB" w:rsidRDefault="007B6023" w:rsidP="001A1EDB">
      <w:pPr>
        <w:shd w:val="clear" w:color="auto" w:fill="FFFFFF"/>
        <w:spacing w:after="240"/>
        <w:jc w:val="both"/>
        <w:rPr>
          <w:rFonts w:ascii="Calibri" w:hAnsi="Calibri" w:cs="Calibri"/>
          <w:iCs/>
        </w:rPr>
      </w:pPr>
      <w:r w:rsidRPr="001A1EDB">
        <w:rPr>
          <w:rFonts w:ascii="Calibri" w:hAnsi="Calibri" w:cs="Calibri"/>
          <w:iCs/>
        </w:rPr>
        <w:t xml:space="preserve">Per la distribuzione delle risorse cloud </w:t>
      </w:r>
      <w:r w:rsidRPr="001A1EDB">
        <w:rPr>
          <w:rFonts w:ascii="Calibri" w:hAnsi="Calibri" w:cs="Calibri"/>
          <w:iCs/>
        </w:rPr>
        <w:t>sono disponibili diverse opzioni</w:t>
      </w:r>
      <w:r w:rsidRPr="001A1EDB">
        <w:rPr>
          <w:rFonts w:ascii="Calibri" w:hAnsi="Calibri" w:cs="Calibri"/>
          <w:iCs/>
        </w:rPr>
        <w:t>,</w:t>
      </w:r>
      <w:r w:rsidRPr="001A1EDB">
        <w:rPr>
          <w:rFonts w:ascii="Calibri" w:hAnsi="Calibri" w:cs="Calibri"/>
          <w:iCs/>
        </w:rPr>
        <w:t xml:space="preserve"> </w:t>
      </w:r>
      <w:r w:rsidRPr="001A1EDB">
        <w:rPr>
          <w:rFonts w:ascii="Calibri" w:hAnsi="Calibri" w:cs="Calibri"/>
          <w:iCs/>
        </w:rPr>
        <w:t>a</w:t>
      </w:r>
      <w:r w:rsidRPr="001A1EDB">
        <w:rPr>
          <w:rFonts w:ascii="Calibri" w:hAnsi="Calibri" w:cs="Calibri"/>
          <w:iCs/>
        </w:rPr>
        <w:t>d esempio il cloud pubblico, privato e ibrido. Tutti e tre gli scenari offrono vantaggi simili</w:t>
      </w:r>
      <w:r w:rsidR="00442FF7" w:rsidRPr="001A1EDB">
        <w:rPr>
          <w:rFonts w:ascii="Calibri" w:hAnsi="Calibri" w:cs="Calibri"/>
          <w:iCs/>
        </w:rPr>
        <w:t xml:space="preserve"> in termini per esempio di </w:t>
      </w:r>
      <w:r w:rsidRPr="001A1EDB">
        <w:rPr>
          <w:rFonts w:ascii="Calibri" w:hAnsi="Calibri" w:cs="Calibri"/>
          <w:iCs/>
        </w:rPr>
        <w:t>prestazioni, affidabilità e scalabilità, ma il metodo di distribuzione scelto dipende dalle esigenze aziendali.</w:t>
      </w:r>
      <w:r w:rsidRPr="001A1EDB">
        <w:rPr>
          <w:rFonts w:ascii="Calibri" w:hAnsi="Calibri" w:cs="Calibri"/>
          <w:iCs/>
        </w:rPr>
        <w:t xml:space="preserve"> </w:t>
      </w:r>
      <w:r w:rsidR="00517B71" w:rsidRPr="001A1EDB">
        <w:rPr>
          <w:rFonts w:ascii="Calibri" w:hAnsi="Calibri" w:cs="Calibri"/>
          <w:iCs/>
        </w:rPr>
        <w:t>È</w:t>
      </w:r>
      <w:r w:rsidR="005702CE" w:rsidRPr="001A1EDB">
        <w:rPr>
          <w:rFonts w:ascii="Calibri" w:hAnsi="Calibri" w:cs="Calibri"/>
          <w:iCs/>
        </w:rPr>
        <w:t xml:space="preserve"> sempre più diffusa la necessità di spostare carchi di lavoro in cloud </w:t>
      </w:r>
      <w:r w:rsidR="00517B71" w:rsidRPr="001A1EDB">
        <w:rPr>
          <w:rFonts w:ascii="Calibri" w:hAnsi="Calibri" w:cs="Calibri"/>
          <w:iCs/>
        </w:rPr>
        <w:t>mantenendone</w:t>
      </w:r>
      <w:r w:rsidR="005702CE" w:rsidRPr="001A1EDB">
        <w:rPr>
          <w:rFonts w:ascii="Calibri" w:hAnsi="Calibri" w:cs="Calibri"/>
          <w:iCs/>
        </w:rPr>
        <w:t xml:space="preserve"> una parte in casa, oppure di lavorare in senso opposto</w:t>
      </w:r>
      <w:r w:rsidR="00517B71" w:rsidRPr="001A1EDB">
        <w:rPr>
          <w:rFonts w:ascii="Calibri" w:hAnsi="Calibri" w:cs="Calibri"/>
          <w:iCs/>
        </w:rPr>
        <w:t>: ovvero, s</w:t>
      </w:r>
      <w:r w:rsidR="005702CE" w:rsidRPr="001A1EDB">
        <w:rPr>
          <w:rFonts w:ascii="Calibri" w:hAnsi="Calibri" w:cs="Calibri"/>
          <w:iCs/>
        </w:rPr>
        <w:t>viluppare servizi molto rapidamente sfruttando i vantaggi e le tecnologie del cloud per poi riportarli in locale per motivi di latenza del dato</w:t>
      </w:r>
      <w:r w:rsidR="00F54C59" w:rsidRPr="001A1EDB">
        <w:rPr>
          <w:rFonts w:ascii="Calibri" w:hAnsi="Calibri" w:cs="Calibri"/>
          <w:iCs/>
        </w:rPr>
        <w:t>,</w:t>
      </w:r>
      <w:r w:rsidR="005702CE" w:rsidRPr="001A1EDB">
        <w:rPr>
          <w:rFonts w:ascii="Calibri" w:hAnsi="Calibri" w:cs="Calibri"/>
          <w:iCs/>
        </w:rPr>
        <w:t xml:space="preserve"> ad esempio. </w:t>
      </w:r>
      <w:r w:rsidR="00517B71" w:rsidRPr="001A1EDB">
        <w:rPr>
          <w:rFonts w:ascii="Calibri" w:hAnsi="Calibri" w:cs="Calibri"/>
          <w:iCs/>
        </w:rPr>
        <w:t>Inoltre, s</w:t>
      </w:r>
      <w:r w:rsidR="005702CE" w:rsidRPr="001A1EDB">
        <w:rPr>
          <w:rFonts w:ascii="Calibri" w:hAnsi="Calibri" w:cs="Calibri"/>
          <w:iCs/>
        </w:rPr>
        <w:t>ta anche aumentando la necessità di lavorare in modalità multi-cloud, sfruttando il meglio di ogni cloud provider.</w:t>
      </w:r>
      <w:r w:rsidR="00336E79" w:rsidRPr="001A1EDB">
        <w:rPr>
          <w:rFonts w:ascii="Calibri" w:hAnsi="Calibri" w:cs="Calibri"/>
          <w:iCs/>
        </w:rPr>
        <w:t xml:space="preserve"> </w:t>
      </w:r>
      <w:r w:rsidRPr="001A1EDB">
        <w:rPr>
          <w:rFonts w:ascii="Calibri" w:hAnsi="Calibri" w:cs="Calibri"/>
          <w:iCs/>
        </w:rPr>
        <w:t>Non credo esista una reale alternativa al cloud ibrido</w:t>
      </w:r>
      <w:r w:rsidRPr="001A1EDB">
        <w:rPr>
          <w:rFonts w:ascii="Calibri" w:hAnsi="Calibri" w:cs="Calibri"/>
          <w:iCs/>
        </w:rPr>
        <w:t>:</w:t>
      </w:r>
      <w:r w:rsidRPr="001A1EDB">
        <w:rPr>
          <w:rFonts w:ascii="Calibri" w:hAnsi="Calibri" w:cs="Calibri"/>
          <w:shd w:val="clear" w:color="auto" w:fill="FFFFFF"/>
        </w:rPr>
        <w:t xml:space="preserve"> </w:t>
      </w:r>
      <w:r w:rsidRPr="001A1EDB">
        <w:rPr>
          <w:rFonts w:ascii="Calibri" w:hAnsi="Calibri" w:cs="Calibri"/>
          <w:shd w:val="clear" w:color="auto" w:fill="FFFFFF"/>
        </w:rPr>
        <w:t xml:space="preserve">i cloud ibridi combinano l'infrastruttura locale, o cloud privati, con i cloud pubblici, in modo da consentire alle organizzazioni di sfruttare i vantaggi di </w:t>
      </w:r>
      <w:r w:rsidRPr="001A1EDB">
        <w:rPr>
          <w:rFonts w:ascii="Calibri" w:hAnsi="Calibri" w:cs="Calibri"/>
          <w:shd w:val="clear" w:color="auto" w:fill="FFFFFF"/>
        </w:rPr>
        <w:t>tutte le piattaforme</w:t>
      </w:r>
      <w:r w:rsidR="001A1EDB" w:rsidRPr="001A1EDB">
        <w:rPr>
          <w:rFonts w:ascii="Calibri" w:hAnsi="Calibri" w:cs="Calibri"/>
          <w:shd w:val="clear" w:color="auto" w:fill="FFFFFF"/>
        </w:rPr>
        <w:t xml:space="preserve"> che devono integrarsi e convivere. È </w:t>
      </w:r>
      <w:r w:rsidR="00442FF7" w:rsidRPr="001A1EDB">
        <w:rPr>
          <w:rFonts w:ascii="Calibri" w:hAnsi="Calibri" w:cs="Calibri"/>
          <w:shd w:val="clear" w:color="auto" w:fill="FFFFFF"/>
        </w:rPr>
        <w:t xml:space="preserve">ad </w:t>
      </w:r>
      <w:r w:rsidRPr="001A1EDB">
        <w:rPr>
          <w:rFonts w:ascii="Calibri" w:hAnsi="Calibri" w:cs="Calibri"/>
          <w:shd w:val="clear" w:color="auto" w:fill="FFFFFF"/>
        </w:rPr>
        <w:t>esempio</w:t>
      </w:r>
      <w:r w:rsidR="00442FF7" w:rsidRPr="001A1EDB">
        <w:rPr>
          <w:rFonts w:ascii="Calibri" w:hAnsi="Calibri" w:cs="Calibri"/>
          <w:shd w:val="clear" w:color="auto" w:fill="FFFFFF"/>
        </w:rPr>
        <w:t xml:space="preserve"> possibile</w:t>
      </w:r>
      <w:r w:rsidRPr="001A1EDB">
        <w:rPr>
          <w:rFonts w:ascii="Calibri" w:hAnsi="Calibri" w:cs="Calibri"/>
          <w:shd w:val="clear" w:color="auto" w:fill="FFFFFF"/>
        </w:rPr>
        <w:t xml:space="preserve"> usare il cloud pubblico </w:t>
      </w:r>
      <w:r w:rsidRPr="001A1EDB">
        <w:rPr>
          <w:rFonts w:ascii="Calibri" w:hAnsi="Calibri" w:cs="Calibri"/>
          <w:shd w:val="clear" w:color="auto" w:fill="FFFFFF"/>
        </w:rPr>
        <w:t xml:space="preserve">per </w:t>
      </w:r>
      <w:r w:rsidRPr="001A1EDB">
        <w:rPr>
          <w:rFonts w:ascii="Calibri" w:hAnsi="Calibri" w:cs="Calibri"/>
          <w:shd w:val="clear" w:color="auto" w:fill="FFFFFF"/>
        </w:rPr>
        <w:t xml:space="preserve">la posta elettronica basata sul Web, e il cloud privato o un'altra infrastruttura locale per operazioni </w:t>
      </w:r>
      <w:r w:rsidRPr="001A1EDB">
        <w:rPr>
          <w:rFonts w:ascii="Calibri" w:hAnsi="Calibri" w:cs="Calibri"/>
          <w:shd w:val="clear" w:color="auto" w:fill="FFFFFF"/>
        </w:rPr>
        <w:t>con dati aziendali sensibili</w:t>
      </w:r>
      <w:r w:rsidRPr="001A1EDB">
        <w:rPr>
          <w:rFonts w:ascii="Calibri" w:hAnsi="Calibri" w:cs="Calibri"/>
          <w:shd w:val="clear" w:color="auto" w:fill="FFFFFF"/>
        </w:rPr>
        <w:t xml:space="preserve">, come </w:t>
      </w:r>
      <w:r w:rsidRPr="001A1EDB">
        <w:rPr>
          <w:rFonts w:ascii="Calibri" w:hAnsi="Calibri" w:cs="Calibri"/>
          <w:shd w:val="clear" w:color="auto" w:fill="FFFFFF"/>
        </w:rPr>
        <w:t>quelle finanziarie. Il cloud ibrido</w:t>
      </w:r>
      <w:r w:rsidRPr="001A1EDB">
        <w:rPr>
          <w:rFonts w:ascii="Calibri" w:hAnsi="Calibri" w:cs="Calibri"/>
          <w:shd w:val="clear" w:color="auto" w:fill="FFFFFF"/>
        </w:rPr>
        <w:t> offre così alle aziende più flessibilità e possibilità di sviluppo</w:t>
      </w:r>
      <w:r w:rsidR="00442FF7" w:rsidRPr="001A1EDB">
        <w:rPr>
          <w:rFonts w:ascii="Calibri" w:hAnsi="Calibri" w:cs="Calibri"/>
          <w:shd w:val="clear" w:color="auto" w:fill="FFFFFF"/>
        </w:rPr>
        <w:t xml:space="preserve"> attraverso una gestione dinamica.</w:t>
      </w:r>
    </w:p>
    <w:p w:rsidR="007B6023" w:rsidRPr="001A1EDB" w:rsidRDefault="00661941" w:rsidP="001A1EDB">
      <w:pPr>
        <w:shd w:val="clear" w:color="auto" w:fill="FFFFFF"/>
        <w:spacing w:after="240"/>
        <w:jc w:val="both"/>
        <w:rPr>
          <w:rFonts w:ascii="Calibri" w:hAnsi="Calibri" w:cs="Calibri"/>
          <w:b/>
          <w:bCs/>
        </w:rPr>
      </w:pPr>
      <w:r w:rsidRPr="001A1EDB">
        <w:rPr>
          <w:rFonts w:ascii="Calibri" w:hAnsi="Calibri" w:cs="Calibri"/>
          <w:b/>
          <w:bCs/>
        </w:rPr>
        <w:t xml:space="preserve">Cloud, IoT e AI. </w:t>
      </w:r>
    </w:p>
    <w:p w:rsidR="00BA658E" w:rsidRPr="001A1EDB" w:rsidRDefault="00442FF7" w:rsidP="001A1EDB">
      <w:pPr>
        <w:shd w:val="clear" w:color="auto" w:fill="FFFFFF"/>
        <w:spacing w:before="100" w:beforeAutospacing="1" w:after="100" w:afterAutospacing="1"/>
        <w:jc w:val="both"/>
        <w:textAlignment w:val="baseline"/>
        <w:rPr>
          <w:rFonts w:ascii="Calibri" w:eastAsia="Times New Roman" w:hAnsi="Calibri" w:cs="Calibri"/>
        </w:rPr>
      </w:pPr>
      <w:r w:rsidRPr="00442FF7">
        <w:rPr>
          <w:rFonts w:ascii="Calibri" w:eastAsia="Times New Roman" w:hAnsi="Calibri" w:cs="Calibri"/>
        </w:rPr>
        <w:t>L’unione ideale tra IoT e Intelligenza Artificiale non è possibile senza una piattaforma e una architettura abilitanti</w:t>
      </w:r>
      <w:r w:rsidRPr="001A1EDB">
        <w:rPr>
          <w:rFonts w:ascii="Calibri" w:eastAsia="Times New Roman" w:hAnsi="Calibri" w:cs="Calibri"/>
        </w:rPr>
        <w:t xml:space="preserve">. </w:t>
      </w:r>
      <w:r w:rsidR="00BA658E" w:rsidRPr="001A1EDB">
        <w:rPr>
          <w:rFonts w:ascii="Calibri" w:hAnsi="Calibri" w:cs="Calibri"/>
          <w:iCs/>
        </w:rPr>
        <w:t xml:space="preserve">L’AI ha bisogno dell’IoT per ottenere le enormi quantità di dati che gli </w:t>
      </w:r>
      <w:r w:rsidR="00517B71" w:rsidRPr="001A1EDB">
        <w:rPr>
          <w:rFonts w:ascii="Calibri" w:hAnsi="Calibri" w:cs="Calibri"/>
          <w:iCs/>
        </w:rPr>
        <w:t xml:space="preserve">occorrono </w:t>
      </w:r>
      <w:r w:rsidR="00BA658E" w:rsidRPr="001A1EDB">
        <w:rPr>
          <w:rFonts w:ascii="Calibri" w:hAnsi="Calibri" w:cs="Calibri"/>
          <w:iCs/>
        </w:rPr>
        <w:t xml:space="preserve">per generare </w:t>
      </w:r>
      <w:r w:rsidR="00BA658E" w:rsidRPr="001A1EDB">
        <w:rPr>
          <w:rFonts w:ascii="Calibri" w:hAnsi="Calibri" w:cs="Calibri"/>
          <w:iCs/>
        </w:rPr>
        <w:lastRenderedPageBreak/>
        <w:t xml:space="preserve">previsioni utili e di valore. L’IoT, che genera </w:t>
      </w:r>
      <w:r w:rsidR="00517B71" w:rsidRPr="001A1EDB">
        <w:rPr>
          <w:rFonts w:ascii="Calibri" w:hAnsi="Calibri" w:cs="Calibri"/>
          <w:iCs/>
        </w:rPr>
        <w:t>un’</w:t>
      </w:r>
      <w:r w:rsidR="00BA658E" w:rsidRPr="001A1EDB">
        <w:rPr>
          <w:rFonts w:ascii="Calibri" w:hAnsi="Calibri" w:cs="Calibri"/>
          <w:iCs/>
        </w:rPr>
        <w:t>enorm</w:t>
      </w:r>
      <w:r w:rsidR="00517B71" w:rsidRPr="001A1EDB">
        <w:rPr>
          <w:rFonts w:ascii="Calibri" w:hAnsi="Calibri" w:cs="Calibri"/>
          <w:iCs/>
        </w:rPr>
        <w:t xml:space="preserve">e </w:t>
      </w:r>
      <w:r w:rsidR="00F54C59" w:rsidRPr="001A1EDB">
        <w:rPr>
          <w:rFonts w:ascii="Calibri" w:hAnsi="Calibri" w:cs="Calibri"/>
          <w:iCs/>
        </w:rPr>
        <w:t>mole di</w:t>
      </w:r>
      <w:r w:rsidR="00BA658E" w:rsidRPr="001A1EDB">
        <w:rPr>
          <w:rFonts w:ascii="Calibri" w:hAnsi="Calibri" w:cs="Calibri"/>
          <w:iCs/>
        </w:rPr>
        <w:t xml:space="preserve"> dati, ha bisogno d</w:t>
      </w:r>
      <w:r w:rsidR="00517B71" w:rsidRPr="001A1EDB">
        <w:rPr>
          <w:rFonts w:ascii="Calibri" w:hAnsi="Calibri" w:cs="Calibri"/>
          <w:iCs/>
        </w:rPr>
        <w:t>ell’</w:t>
      </w:r>
      <w:r w:rsidR="00BA658E" w:rsidRPr="001A1EDB">
        <w:rPr>
          <w:rFonts w:ascii="Calibri" w:hAnsi="Calibri" w:cs="Calibri"/>
          <w:iCs/>
        </w:rPr>
        <w:t>AI per estrarne il valore. Il c</w:t>
      </w:r>
      <w:r w:rsidR="001A1EDB">
        <w:rPr>
          <w:rFonts w:ascii="Calibri" w:hAnsi="Calibri" w:cs="Calibri"/>
          <w:iCs/>
        </w:rPr>
        <w:t>l</w:t>
      </w:r>
      <w:r w:rsidR="00BA658E" w:rsidRPr="001A1EDB">
        <w:rPr>
          <w:rFonts w:ascii="Calibri" w:hAnsi="Calibri" w:cs="Calibri"/>
          <w:iCs/>
        </w:rPr>
        <w:t>oud è l’ambiente ideale dove i due si incontrano</w:t>
      </w:r>
      <w:r w:rsidR="00517B71" w:rsidRPr="001A1EDB">
        <w:rPr>
          <w:rFonts w:ascii="Calibri" w:hAnsi="Calibri" w:cs="Calibri"/>
          <w:iCs/>
        </w:rPr>
        <w:t>: p</w:t>
      </w:r>
      <w:r w:rsidR="00BA658E" w:rsidRPr="001A1EDB">
        <w:rPr>
          <w:rFonts w:ascii="Calibri" w:hAnsi="Calibri" w:cs="Calibri"/>
          <w:iCs/>
        </w:rPr>
        <w:t>ossibilità di sfruttare algoritmi di AI allo stato dell’arte, scalabilità infinita per la gestione de</w:t>
      </w:r>
      <w:r w:rsidR="00F54C59" w:rsidRPr="001A1EDB">
        <w:rPr>
          <w:rFonts w:ascii="Calibri" w:hAnsi="Calibri" w:cs="Calibri"/>
          <w:iCs/>
        </w:rPr>
        <w:t>i dati</w:t>
      </w:r>
      <w:r w:rsidR="00517B71" w:rsidRPr="001A1EDB">
        <w:rPr>
          <w:rFonts w:ascii="Calibri" w:hAnsi="Calibri" w:cs="Calibri"/>
          <w:iCs/>
        </w:rPr>
        <w:t xml:space="preserve">, </w:t>
      </w:r>
      <w:r w:rsidR="00BA658E" w:rsidRPr="001A1EDB">
        <w:rPr>
          <w:rFonts w:ascii="Calibri" w:hAnsi="Calibri" w:cs="Calibri"/>
          <w:iCs/>
        </w:rPr>
        <w:t xml:space="preserve">servizi di connessione fra il mondo fisico e quello virtuale e logico. </w:t>
      </w:r>
      <w:r w:rsidR="00F54C59" w:rsidRPr="001A1EDB">
        <w:rPr>
          <w:rFonts w:ascii="Calibri" w:hAnsi="Calibri" w:cs="Calibri"/>
          <w:iCs/>
        </w:rPr>
        <w:t xml:space="preserve">Un modello da perseguire non </w:t>
      </w:r>
      <w:r w:rsidR="00751A7F" w:rsidRPr="001A1EDB">
        <w:rPr>
          <w:rFonts w:ascii="Calibri" w:hAnsi="Calibri" w:cs="Calibri"/>
          <w:iCs/>
        </w:rPr>
        <w:t>n</w:t>
      </w:r>
      <w:r w:rsidR="00F54C59" w:rsidRPr="001A1EDB">
        <w:rPr>
          <w:rFonts w:ascii="Calibri" w:hAnsi="Calibri" w:cs="Calibri"/>
          <w:iCs/>
        </w:rPr>
        <w:t xml:space="preserve">el lungo periodo, </w:t>
      </w:r>
      <w:r w:rsidRPr="001A1EDB">
        <w:rPr>
          <w:rFonts w:ascii="Calibri" w:hAnsi="Calibri" w:cs="Calibri"/>
          <w:iCs/>
        </w:rPr>
        <w:t xml:space="preserve">ma </w:t>
      </w:r>
      <w:r w:rsidR="00F54C59" w:rsidRPr="001A1EDB">
        <w:rPr>
          <w:rFonts w:ascii="Calibri" w:hAnsi="Calibri" w:cs="Calibri"/>
          <w:iCs/>
        </w:rPr>
        <w:t>ora</w:t>
      </w:r>
      <w:r w:rsidR="001A1EDB" w:rsidRPr="001A1EDB">
        <w:rPr>
          <w:rFonts w:ascii="Calibri" w:hAnsi="Calibri" w:cs="Calibri"/>
          <w:iCs/>
        </w:rPr>
        <w:t xml:space="preserve"> per essere competitivi.</w:t>
      </w:r>
      <w:r w:rsidR="00BA658E" w:rsidRPr="001A1EDB">
        <w:rPr>
          <w:rFonts w:ascii="Calibri" w:hAnsi="Calibri" w:cs="Calibri"/>
          <w:iCs/>
        </w:rPr>
        <w:t xml:space="preserve"> </w:t>
      </w:r>
    </w:p>
    <w:p w:rsidR="00465E0B" w:rsidRPr="001A1EDB" w:rsidRDefault="00465E0B" w:rsidP="00C173D7">
      <w:pPr>
        <w:shd w:val="clear" w:color="auto" w:fill="FFFFFF"/>
        <w:spacing w:after="240"/>
        <w:rPr>
          <w:rFonts w:ascii="Calibri" w:hAnsi="Calibri" w:cs="Calibri"/>
          <w:iCs/>
          <w:color w:val="006CBF" w:themeColor="accent1" w:themeShade="BF"/>
        </w:rPr>
      </w:pPr>
    </w:p>
    <w:p w:rsidR="00465E0B" w:rsidRPr="001A1EDB" w:rsidRDefault="00465E0B" w:rsidP="00C173D7">
      <w:pPr>
        <w:shd w:val="clear" w:color="auto" w:fill="FFFFFF"/>
        <w:spacing w:after="240"/>
        <w:rPr>
          <w:rFonts w:ascii="Calibri" w:hAnsi="Calibri" w:cs="Calibri"/>
          <w:iCs/>
          <w:color w:val="006CBF" w:themeColor="accent1" w:themeShade="BF"/>
        </w:rPr>
      </w:pPr>
    </w:p>
    <w:p w:rsidR="00661941" w:rsidRPr="001A1EDB" w:rsidRDefault="00661941" w:rsidP="00661941">
      <w:pPr>
        <w:shd w:val="clear" w:color="auto" w:fill="FFFFFF"/>
        <w:rPr>
          <w:rFonts w:ascii="Calibri" w:hAnsi="Calibri" w:cs="Calibri"/>
          <w:color w:val="000000"/>
        </w:rPr>
      </w:pPr>
    </w:p>
    <w:p w:rsidR="00D6717D" w:rsidRPr="001A1EDB" w:rsidRDefault="00D6717D" w:rsidP="00AB0ACC">
      <w:pPr>
        <w:rPr>
          <w:rFonts w:ascii="Calibri" w:hAnsi="Calibri" w:cs="Calibri"/>
        </w:rPr>
      </w:pPr>
    </w:p>
    <w:sectPr w:rsidR="00D6717D" w:rsidRPr="001A1EDB" w:rsidSect="002D128E">
      <w:pgSz w:w="11900" w:h="16840"/>
      <w:pgMar w:top="2410" w:right="843" w:bottom="1134" w:left="851" w:header="0" w:footer="113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2E88" w:rsidRDefault="00462E88">
      <w:r>
        <w:separator/>
      </w:r>
    </w:p>
  </w:endnote>
  <w:endnote w:type="continuationSeparator" w:id="0">
    <w:p w:rsidR="00462E88" w:rsidRDefault="00462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2E88" w:rsidRDefault="00462E88">
      <w:r>
        <w:rPr>
          <w:color w:val="000000"/>
        </w:rPr>
        <w:separator/>
      </w:r>
    </w:p>
  </w:footnote>
  <w:footnote w:type="continuationSeparator" w:id="0">
    <w:p w:rsidR="00462E88" w:rsidRDefault="00462E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52813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27D0153"/>
    <w:multiLevelType w:val="hybridMultilevel"/>
    <w:tmpl w:val="E4E003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315CC"/>
    <w:multiLevelType w:val="hybridMultilevel"/>
    <w:tmpl w:val="C7FCCA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624D5"/>
    <w:multiLevelType w:val="multilevel"/>
    <w:tmpl w:val="A53C5E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B9B44EC"/>
    <w:multiLevelType w:val="hybridMultilevel"/>
    <w:tmpl w:val="8A463510"/>
    <w:lvl w:ilvl="0" w:tplc="E2649C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  <w:u w:color="00B0F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7577F"/>
    <w:multiLevelType w:val="hybridMultilevel"/>
    <w:tmpl w:val="32204340"/>
    <w:lvl w:ilvl="0" w:tplc="AB6AB078">
      <w:start w:val="1"/>
      <w:numFmt w:val="decimal"/>
      <w:pStyle w:val="Elencopuntato"/>
      <w:lvlText w:val="%1."/>
      <w:lvlJc w:val="left"/>
      <w:pPr>
        <w:ind w:left="720" w:hanging="360"/>
      </w:pPr>
      <w:rPr>
        <w:rFonts w:hint="default"/>
        <w:color w:val="00B0F0"/>
        <w:u w:color="00B0F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FC12A4"/>
    <w:multiLevelType w:val="multilevel"/>
    <w:tmpl w:val="8B803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5A56E2"/>
    <w:multiLevelType w:val="hybridMultilevel"/>
    <w:tmpl w:val="406CF0D8"/>
    <w:lvl w:ilvl="0" w:tplc="58866E7A">
      <w:start w:val="1"/>
      <w:numFmt w:val="decimal"/>
      <w:lvlText w:val="%1.1.1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0B6696A"/>
    <w:multiLevelType w:val="hybridMultilevel"/>
    <w:tmpl w:val="B900E8D2"/>
    <w:lvl w:ilvl="0" w:tplc="6D083E6C">
      <w:start w:val="1"/>
      <w:numFmt w:val="bullet"/>
      <w:pStyle w:val="ElencoNumerato"/>
      <w:lvlText w:val=""/>
      <w:lvlJc w:val="left"/>
      <w:pPr>
        <w:ind w:left="720" w:hanging="360"/>
      </w:pPr>
      <w:rPr>
        <w:rFonts w:ascii="Symbol" w:hAnsi="Symbol" w:hint="default"/>
        <w:color w:val="0091FF" w:themeColor="accent1"/>
        <w:u w:color="0091FF" w:themeColor="accent1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E05C00"/>
    <w:multiLevelType w:val="multilevel"/>
    <w:tmpl w:val="8B3034B8"/>
    <w:lvl w:ilvl="0">
      <w:start w:val="1"/>
      <w:numFmt w:val="decimal"/>
      <w:pStyle w:val="Titolo1"/>
      <w:lvlText w:val="%1."/>
      <w:lvlJc w:val="left"/>
      <w:pPr>
        <w:ind w:left="720" w:hanging="360"/>
      </w:pPr>
    </w:lvl>
    <w:lvl w:ilvl="1">
      <w:start w:val="1"/>
      <w:numFmt w:val="decimal"/>
      <w:pStyle w:val="Titolo2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pStyle w:val="Titolo3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75E77F2C"/>
    <w:multiLevelType w:val="hybridMultilevel"/>
    <w:tmpl w:val="8C7C0276"/>
    <w:lvl w:ilvl="0" w:tplc="EBCEBC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  <w:u w:color="00B0F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14D14"/>
    <w:multiLevelType w:val="hybridMultilevel"/>
    <w:tmpl w:val="8BD6362C"/>
    <w:lvl w:ilvl="0" w:tplc="E2649C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  <w:u w:color="00B0F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5F4116"/>
    <w:multiLevelType w:val="hybridMultilevel"/>
    <w:tmpl w:val="816EBDA0"/>
    <w:lvl w:ilvl="0" w:tplc="D7D4A1D0">
      <w:start w:val="1"/>
      <w:numFmt w:val="decimal"/>
      <w:lvlText w:val="%1.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9"/>
  </w:num>
  <w:num w:numId="8">
    <w:abstractNumId w:val="3"/>
  </w:num>
  <w:num w:numId="9">
    <w:abstractNumId w:val="3"/>
    <w:lvlOverride w:ilvl="0">
      <w:startOverride w:val="2"/>
    </w:lvlOverride>
    <w:lvlOverride w:ilvl="1">
      <w:startOverride w:val="1"/>
    </w:lvlOverride>
  </w:num>
  <w:num w:numId="10">
    <w:abstractNumId w:val="7"/>
  </w:num>
  <w:num w:numId="11">
    <w:abstractNumId w:val="12"/>
  </w:num>
  <w:num w:numId="12">
    <w:abstractNumId w:val="8"/>
  </w:num>
  <w:num w:numId="13">
    <w:abstractNumId w:val="5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1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IT" w:vendorID="64" w:dllVersion="6" w:nlCheck="1" w:checkStyle="0"/>
  <w:activeWritingStyle w:appName="MSWord" w:lang="it-IT" w:vendorID="64" w:dllVersion="4096" w:nlCheck="1" w:checkStyle="0"/>
  <w:defaultTabStop w:val="708"/>
  <w:autoHyphenation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3F3"/>
    <w:rsid w:val="00015450"/>
    <w:rsid w:val="000260DF"/>
    <w:rsid w:val="0004452A"/>
    <w:rsid w:val="00066B3D"/>
    <w:rsid w:val="00117DF6"/>
    <w:rsid w:val="0012707D"/>
    <w:rsid w:val="00153BD9"/>
    <w:rsid w:val="00161BA4"/>
    <w:rsid w:val="00174C4F"/>
    <w:rsid w:val="001A1EDB"/>
    <w:rsid w:val="001A50F8"/>
    <w:rsid w:val="001C1E7E"/>
    <w:rsid w:val="001C50C9"/>
    <w:rsid w:val="001C5A59"/>
    <w:rsid w:val="001E1282"/>
    <w:rsid w:val="001E2975"/>
    <w:rsid w:val="001E6D65"/>
    <w:rsid w:val="002129E7"/>
    <w:rsid w:val="002A28B0"/>
    <w:rsid w:val="002D128E"/>
    <w:rsid w:val="002D62BA"/>
    <w:rsid w:val="002F2D19"/>
    <w:rsid w:val="0031244B"/>
    <w:rsid w:val="00322852"/>
    <w:rsid w:val="00336E79"/>
    <w:rsid w:val="003610C7"/>
    <w:rsid w:val="00365DC7"/>
    <w:rsid w:val="003716CB"/>
    <w:rsid w:val="003B542D"/>
    <w:rsid w:val="003D14AE"/>
    <w:rsid w:val="003E49C0"/>
    <w:rsid w:val="003F3420"/>
    <w:rsid w:val="003F68B2"/>
    <w:rsid w:val="00442FF7"/>
    <w:rsid w:val="00446A68"/>
    <w:rsid w:val="00462E88"/>
    <w:rsid w:val="00465E0B"/>
    <w:rsid w:val="004825BE"/>
    <w:rsid w:val="00491955"/>
    <w:rsid w:val="004C6886"/>
    <w:rsid w:val="004D49FA"/>
    <w:rsid w:val="00500E3A"/>
    <w:rsid w:val="00517B71"/>
    <w:rsid w:val="005344CD"/>
    <w:rsid w:val="00550F32"/>
    <w:rsid w:val="005702CE"/>
    <w:rsid w:val="00583E6C"/>
    <w:rsid w:val="005B5C40"/>
    <w:rsid w:val="005C53AB"/>
    <w:rsid w:val="005C756E"/>
    <w:rsid w:val="005D7F28"/>
    <w:rsid w:val="005F1A11"/>
    <w:rsid w:val="005F48F8"/>
    <w:rsid w:val="005F62C5"/>
    <w:rsid w:val="00607DF7"/>
    <w:rsid w:val="00636FDA"/>
    <w:rsid w:val="00661941"/>
    <w:rsid w:val="006640C5"/>
    <w:rsid w:val="00681F14"/>
    <w:rsid w:val="006953A2"/>
    <w:rsid w:val="006A4F3C"/>
    <w:rsid w:val="006C02FB"/>
    <w:rsid w:val="006C1073"/>
    <w:rsid w:val="006D453F"/>
    <w:rsid w:val="006E0294"/>
    <w:rsid w:val="006F6ED2"/>
    <w:rsid w:val="00705343"/>
    <w:rsid w:val="0072573E"/>
    <w:rsid w:val="007473FF"/>
    <w:rsid w:val="00751A7F"/>
    <w:rsid w:val="00751BF7"/>
    <w:rsid w:val="007B6023"/>
    <w:rsid w:val="007B640A"/>
    <w:rsid w:val="007E470A"/>
    <w:rsid w:val="007F423A"/>
    <w:rsid w:val="008053DF"/>
    <w:rsid w:val="00811A50"/>
    <w:rsid w:val="0087453F"/>
    <w:rsid w:val="008A28D5"/>
    <w:rsid w:val="008B19CA"/>
    <w:rsid w:val="008B5C5D"/>
    <w:rsid w:val="008D650A"/>
    <w:rsid w:val="008E01E5"/>
    <w:rsid w:val="008F01B8"/>
    <w:rsid w:val="00902084"/>
    <w:rsid w:val="00912FBB"/>
    <w:rsid w:val="009751F4"/>
    <w:rsid w:val="009B2317"/>
    <w:rsid w:val="009E5E22"/>
    <w:rsid w:val="009F6AAD"/>
    <w:rsid w:val="00A07C43"/>
    <w:rsid w:val="00A30422"/>
    <w:rsid w:val="00A56316"/>
    <w:rsid w:val="00A621CF"/>
    <w:rsid w:val="00A74DDC"/>
    <w:rsid w:val="00A80253"/>
    <w:rsid w:val="00A867A9"/>
    <w:rsid w:val="00AB0ACC"/>
    <w:rsid w:val="00AC0DE3"/>
    <w:rsid w:val="00AC47EE"/>
    <w:rsid w:val="00AF7E37"/>
    <w:rsid w:val="00BA658E"/>
    <w:rsid w:val="00BC61A0"/>
    <w:rsid w:val="00BD405E"/>
    <w:rsid w:val="00BE4B5B"/>
    <w:rsid w:val="00C173D7"/>
    <w:rsid w:val="00C3533A"/>
    <w:rsid w:val="00C3551A"/>
    <w:rsid w:val="00C626F4"/>
    <w:rsid w:val="00C66E2C"/>
    <w:rsid w:val="00C737DB"/>
    <w:rsid w:val="00C74A41"/>
    <w:rsid w:val="00C77F14"/>
    <w:rsid w:val="00CA33B3"/>
    <w:rsid w:val="00CA62F4"/>
    <w:rsid w:val="00CD0055"/>
    <w:rsid w:val="00CF6B11"/>
    <w:rsid w:val="00D30C62"/>
    <w:rsid w:val="00D41CAE"/>
    <w:rsid w:val="00D427A3"/>
    <w:rsid w:val="00D50138"/>
    <w:rsid w:val="00D6717D"/>
    <w:rsid w:val="00D76F01"/>
    <w:rsid w:val="00D80B34"/>
    <w:rsid w:val="00D84E96"/>
    <w:rsid w:val="00D91F3C"/>
    <w:rsid w:val="00DA72D5"/>
    <w:rsid w:val="00DC6DFF"/>
    <w:rsid w:val="00DF691D"/>
    <w:rsid w:val="00E0097E"/>
    <w:rsid w:val="00E02546"/>
    <w:rsid w:val="00E35965"/>
    <w:rsid w:val="00E60248"/>
    <w:rsid w:val="00E71C2F"/>
    <w:rsid w:val="00EC3BD8"/>
    <w:rsid w:val="00EC6324"/>
    <w:rsid w:val="00ED44F8"/>
    <w:rsid w:val="00F0667B"/>
    <w:rsid w:val="00F54C59"/>
    <w:rsid w:val="00F56AF3"/>
    <w:rsid w:val="00F94E6C"/>
    <w:rsid w:val="00FE6E81"/>
    <w:rsid w:val="00FF3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4DB8B0C"/>
  <w15:chartTrackingRefBased/>
  <w15:docId w15:val="{00A05676-42E3-48A6-A30E-F5B7DF376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lang w:val="it-IT" w:eastAsia="it-I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61941"/>
    <w:pPr>
      <w:autoSpaceDN/>
      <w:textAlignment w:val="auto"/>
    </w:pPr>
    <w:rPr>
      <w:rFonts w:ascii="Times New Roman" w:eastAsiaTheme="minorHAnsi" w:hAnsi="Times New Roman"/>
      <w:sz w:val="24"/>
      <w:szCs w:val="24"/>
    </w:rPr>
  </w:style>
  <w:style w:type="paragraph" w:styleId="Titolo1">
    <w:name w:val="heading 1"/>
    <w:basedOn w:val="Normale"/>
    <w:next w:val="Normale"/>
    <w:qFormat/>
    <w:rsid w:val="00C77F14"/>
    <w:pPr>
      <w:keepNext/>
      <w:keepLines/>
      <w:numPr>
        <w:numId w:val="17"/>
      </w:numPr>
      <w:suppressAutoHyphens/>
      <w:autoSpaceDN w:val="0"/>
      <w:spacing w:before="600" w:after="120"/>
      <w:textAlignment w:val="baseline"/>
      <w:outlineLvl w:val="0"/>
    </w:pPr>
    <w:rPr>
      <w:rFonts w:ascii="Calibri" w:eastAsia="Times New Roman" w:hAnsi="Calibri"/>
      <w:caps/>
      <w:color w:val="0091FF"/>
      <w:sz w:val="34"/>
      <w:szCs w:val="32"/>
      <w:lang w:eastAsia="en-US"/>
    </w:rPr>
  </w:style>
  <w:style w:type="paragraph" w:styleId="Titolo2">
    <w:name w:val="heading 2"/>
    <w:basedOn w:val="Titolo1"/>
    <w:next w:val="Normale"/>
    <w:qFormat/>
    <w:rsid w:val="00C77F14"/>
    <w:pPr>
      <w:numPr>
        <w:ilvl w:val="1"/>
      </w:numPr>
      <w:outlineLvl w:val="1"/>
    </w:pPr>
    <w:rPr>
      <w:sz w:val="30"/>
      <w:szCs w:val="30"/>
    </w:rPr>
  </w:style>
  <w:style w:type="paragraph" w:styleId="Titolo3">
    <w:name w:val="heading 3"/>
    <w:basedOn w:val="Titolo2"/>
    <w:next w:val="Normale"/>
    <w:qFormat/>
    <w:rsid w:val="00C77F14"/>
    <w:pPr>
      <w:numPr>
        <w:ilvl w:val="2"/>
      </w:numPr>
      <w:outlineLvl w:val="2"/>
    </w:pPr>
    <w:rPr>
      <w:sz w:val="28"/>
      <w:szCs w:val="28"/>
    </w:rPr>
  </w:style>
  <w:style w:type="paragraph" w:styleId="Titolo4">
    <w:name w:val="heading 4"/>
    <w:basedOn w:val="Normale"/>
    <w:next w:val="Normale"/>
    <w:autoRedefine/>
    <w:qFormat/>
    <w:rsid w:val="00C77F14"/>
    <w:pPr>
      <w:keepNext/>
      <w:keepLines/>
      <w:suppressAutoHyphens/>
      <w:autoSpaceDN w:val="0"/>
      <w:spacing w:before="40" w:line="264" w:lineRule="auto"/>
      <w:textAlignment w:val="baseline"/>
      <w:outlineLvl w:val="3"/>
    </w:pPr>
    <w:rPr>
      <w:rFonts w:ascii="Calibri" w:eastAsia="Times New Roman" w:hAnsi="Calibri"/>
      <w:b/>
      <w:caps/>
      <w:color w:val="0091FF"/>
      <w:sz w:val="26"/>
      <w:szCs w:val="22"/>
      <w:lang w:eastAsia="en-US"/>
    </w:rPr>
  </w:style>
  <w:style w:type="paragraph" w:styleId="Titolo5">
    <w:name w:val="heading 5"/>
    <w:basedOn w:val="Normale"/>
    <w:next w:val="Normale"/>
    <w:qFormat/>
    <w:rsid w:val="00C77F14"/>
    <w:pPr>
      <w:keepNext/>
      <w:keepLines/>
      <w:suppressAutoHyphens/>
      <w:autoSpaceDN w:val="0"/>
      <w:spacing w:before="40" w:line="264" w:lineRule="auto"/>
      <w:textAlignment w:val="baseline"/>
      <w:outlineLvl w:val="4"/>
    </w:pPr>
    <w:rPr>
      <w:rFonts w:ascii="Calibri" w:eastAsia="Times New Roman" w:hAnsi="Calibri"/>
      <w:color w:val="5C6780"/>
      <w:sz w:val="26"/>
      <w:szCs w:val="22"/>
      <w:lang w:eastAsia="en-US"/>
    </w:rPr>
  </w:style>
  <w:style w:type="paragraph" w:styleId="Titolo6">
    <w:name w:val="heading 6"/>
    <w:basedOn w:val="Normale"/>
    <w:next w:val="Normale"/>
    <w:autoRedefine/>
    <w:qFormat/>
    <w:rsid w:val="00C77F14"/>
    <w:pPr>
      <w:keepNext/>
      <w:keepLines/>
      <w:suppressAutoHyphens/>
      <w:autoSpaceDN w:val="0"/>
      <w:spacing w:before="40" w:line="264" w:lineRule="auto"/>
      <w:textAlignment w:val="baseline"/>
      <w:outlineLvl w:val="5"/>
    </w:pPr>
    <w:rPr>
      <w:rFonts w:ascii="Calibri" w:eastAsia="Times New Roman" w:hAnsi="Calibri"/>
      <w:i/>
      <w:iCs/>
      <w:color w:val="5C6780"/>
      <w:szCs w:val="21"/>
      <w:lang w:eastAsia="en-US"/>
    </w:rPr>
  </w:style>
  <w:style w:type="paragraph" w:styleId="Titolo7">
    <w:name w:val="heading 7"/>
    <w:basedOn w:val="Normale"/>
    <w:next w:val="Normale"/>
    <w:rsid w:val="00C77F14"/>
    <w:pPr>
      <w:keepNext/>
      <w:keepLines/>
      <w:suppressAutoHyphens/>
      <w:autoSpaceDN w:val="0"/>
      <w:spacing w:before="40" w:line="264" w:lineRule="auto"/>
      <w:textAlignment w:val="baseline"/>
      <w:outlineLvl w:val="6"/>
    </w:pPr>
    <w:rPr>
      <w:rFonts w:ascii="Calibri" w:eastAsia="Times New Roman" w:hAnsi="Calibri"/>
      <w:i/>
      <w:iCs/>
      <w:color w:val="004880"/>
      <w:sz w:val="21"/>
      <w:szCs w:val="21"/>
      <w:lang w:eastAsia="en-US"/>
    </w:rPr>
  </w:style>
  <w:style w:type="paragraph" w:styleId="Titolo8">
    <w:name w:val="heading 8"/>
    <w:basedOn w:val="Normale"/>
    <w:next w:val="Normale"/>
    <w:rsid w:val="00C77F14"/>
    <w:pPr>
      <w:keepNext/>
      <w:keepLines/>
      <w:suppressAutoHyphens/>
      <w:autoSpaceDN w:val="0"/>
      <w:spacing w:before="40" w:line="264" w:lineRule="auto"/>
      <w:textAlignment w:val="baseline"/>
      <w:outlineLvl w:val="7"/>
    </w:pPr>
    <w:rPr>
      <w:rFonts w:ascii="Calibri" w:eastAsia="Times New Roman" w:hAnsi="Calibri"/>
      <w:b/>
      <w:bCs/>
      <w:color w:val="1F497D"/>
      <w:szCs w:val="20"/>
      <w:lang w:eastAsia="en-US"/>
    </w:rPr>
  </w:style>
  <w:style w:type="paragraph" w:styleId="Titolo9">
    <w:name w:val="heading 9"/>
    <w:basedOn w:val="Normale"/>
    <w:next w:val="Normale"/>
    <w:rsid w:val="00C77F14"/>
    <w:pPr>
      <w:keepNext/>
      <w:keepLines/>
      <w:suppressAutoHyphens/>
      <w:autoSpaceDN w:val="0"/>
      <w:spacing w:before="40" w:line="264" w:lineRule="auto"/>
      <w:textAlignment w:val="baseline"/>
      <w:outlineLvl w:val="8"/>
    </w:pPr>
    <w:rPr>
      <w:rFonts w:ascii="Calibri" w:eastAsia="Times New Roman" w:hAnsi="Calibri"/>
      <w:b/>
      <w:bCs/>
      <w:i/>
      <w:iCs/>
      <w:color w:val="1F497D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C77F14"/>
    <w:pPr>
      <w:tabs>
        <w:tab w:val="center" w:pos="4819"/>
        <w:tab w:val="right" w:pos="9638"/>
      </w:tabs>
      <w:suppressAutoHyphens/>
      <w:autoSpaceDN w:val="0"/>
      <w:spacing w:after="120" w:line="264" w:lineRule="auto"/>
      <w:textAlignment w:val="baseline"/>
    </w:pPr>
    <w:rPr>
      <w:rFonts w:ascii="Calibri" w:eastAsia="Times New Roman" w:hAnsi="Calibri"/>
      <w:color w:val="000000" w:themeColor="text1"/>
      <w:szCs w:val="20"/>
      <w:lang w:eastAsia="en-US"/>
    </w:rPr>
  </w:style>
  <w:style w:type="character" w:customStyle="1" w:styleId="IntestazioneCarattere">
    <w:name w:val="Intestazione Carattere"/>
    <w:basedOn w:val="Carpredefinitoparagrafo"/>
    <w:rsid w:val="00C77F14"/>
  </w:style>
  <w:style w:type="paragraph" w:styleId="Pidipagina">
    <w:name w:val="footer"/>
    <w:basedOn w:val="Normale"/>
    <w:autoRedefine/>
    <w:qFormat/>
    <w:rsid w:val="00C77F14"/>
    <w:pPr>
      <w:tabs>
        <w:tab w:val="center" w:pos="4819"/>
        <w:tab w:val="right" w:pos="9638"/>
      </w:tabs>
      <w:suppressAutoHyphens/>
      <w:autoSpaceDN w:val="0"/>
      <w:spacing w:after="120" w:line="264" w:lineRule="auto"/>
      <w:textAlignment w:val="baseline"/>
    </w:pPr>
    <w:rPr>
      <w:rFonts w:ascii="Calibri" w:eastAsia="Times New Roman" w:hAnsi="Calibri"/>
      <w:i/>
      <w:color w:val="000000" w:themeColor="text1"/>
      <w:sz w:val="18"/>
      <w:szCs w:val="20"/>
      <w:lang w:eastAsia="en-US"/>
    </w:rPr>
  </w:style>
  <w:style w:type="character" w:customStyle="1" w:styleId="PidipaginaCarattere">
    <w:name w:val="Piè di pagina Carattere"/>
    <w:basedOn w:val="Carpredefinitoparagrafo"/>
    <w:rsid w:val="00C77F14"/>
  </w:style>
  <w:style w:type="paragraph" w:styleId="Testofumetto">
    <w:name w:val="Balloon Text"/>
    <w:basedOn w:val="Normale"/>
    <w:rsid w:val="00C77F14"/>
    <w:pPr>
      <w:suppressAutoHyphens/>
      <w:autoSpaceDN w:val="0"/>
      <w:spacing w:after="120" w:line="264" w:lineRule="auto"/>
      <w:textAlignment w:val="baseline"/>
    </w:pPr>
    <w:rPr>
      <w:rFonts w:ascii="Segoe UI" w:eastAsia="Times New Roman" w:hAnsi="Segoe UI" w:cs="Segoe UI"/>
      <w:color w:val="000000" w:themeColor="text1"/>
      <w:sz w:val="18"/>
      <w:szCs w:val="18"/>
      <w:lang w:eastAsia="en-US"/>
    </w:rPr>
  </w:style>
  <w:style w:type="character" w:customStyle="1" w:styleId="TestofumettoCarattere">
    <w:name w:val="Testo fumetto Carattere"/>
    <w:rsid w:val="00C77F14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rsid w:val="00C77F14"/>
    <w:rPr>
      <w:caps/>
      <w:color w:val="006CBF"/>
      <w:sz w:val="30"/>
      <w:szCs w:val="32"/>
      <w:lang w:eastAsia="en-US"/>
    </w:rPr>
  </w:style>
  <w:style w:type="character" w:customStyle="1" w:styleId="Titolo2Carattere">
    <w:name w:val="Titolo 2 Carattere"/>
    <w:rsid w:val="00C77F14"/>
    <w:rPr>
      <w:b/>
      <w:caps/>
      <w:color w:val="0091FF"/>
      <w:sz w:val="28"/>
      <w:szCs w:val="28"/>
      <w:lang w:eastAsia="en-US"/>
    </w:rPr>
  </w:style>
  <w:style w:type="character" w:customStyle="1" w:styleId="Titolo3Carattere">
    <w:name w:val="Titolo 3 Carattere"/>
    <w:rsid w:val="00C77F14"/>
    <w:rPr>
      <w:color w:val="5C6780"/>
      <w:sz w:val="24"/>
      <w:szCs w:val="24"/>
      <w:lang w:eastAsia="en-US"/>
    </w:rPr>
  </w:style>
  <w:style w:type="character" w:customStyle="1" w:styleId="Titolo4Carattere">
    <w:name w:val="Titolo 4 Carattere"/>
    <w:rsid w:val="00C77F14"/>
    <w:rPr>
      <w:b/>
      <w:caps/>
      <w:color w:val="0091FF"/>
      <w:sz w:val="22"/>
      <w:szCs w:val="22"/>
      <w:lang w:eastAsia="en-US"/>
    </w:rPr>
  </w:style>
  <w:style w:type="character" w:customStyle="1" w:styleId="Titolo5Carattere">
    <w:name w:val="Titolo 5 Carattere"/>
    <w:rsid w:val="00C77F14"/>
    <w:rPr>
      <w:color w:val="5C6780"/>
      <w:sz w:val="22"/>
      <w:szCs w:val="22"/>
      <w:lang w:eastAsia="en-US"/>
    </w:rPr>
  </w:style>
  <w:style w:type="character" w:customStyle="1" w:styleId="Titolo6Carattere">
    <w:name w:val="Titolo 6 Carattere"/>
    <w:rsid w:val="00C77F14"/>
    <w:rPr>
      <w:rFonts w:ascii="Arial" w:eastAsia="Times New Roman" w:hAnsi="Arial" w:cs="Times New Roman"/>
      <w:i/>
      <w:iCs/>
      <w:color w:val="1F497D"/>
      <w:sz w:val="21"/>
      <w:szCs w:val="21"/>
    </w:rPr>
  </w:style>
  <w:style w:type="character" w:customStyle="1" w:styleId="Titolo7Carattere">
    <w:name w:val="Titolo 7 Carattere"/>
    <w:rsid w:val="00C77F14"/>
    <w:rPr>
      <w:rFonts w:ascii="Arial" w:eastAsia="Times New Roman" w:hAnsi="Arial" w:cs="Times New Roman"/>
      <w:i/>
      <w:iCs/>
      <w:color w:val="004880"/>
      <w:sz w:val="21"/>
      <w:szCs w:val="21"/>
    </w:rPr>
  </w:style>
  <w:style w:type="character" w:customStyle="1" w:styleId="Titolo8Carattere">
    <w:name w:val="Titolo 8 Carattere"/>
    <w:rsid w:val="00C77F14"/>
    <w:rPr>
      <w:rFonts w:ascii="Arial" w:eastAsia="Times New Roman" w:hAnsi="Arial" w:cs="Times New Roman"/>
      <w:b/>
      <w:bCs/>
      <w:color w:val="1F497D"/>
    </w:rPr>
  </w:style>
  <w:style w:type="character" w:customStyle="1" w:styleId="Titolo9Carattere">
    <w:name w:val="Titolo 9 Carattere"/>
    <w:rsid w:val="00C77F14"/>
    <w:rPr>
      <w:rFonts w:ascii="Arial" w:eastAsia="Times New Roman" w:hAnsi="Arial" w:cs="Times New Roman"/>
      <w:b/>
      <w:bCs/>
      <w:i/>
      <w:iCs/>
      <w:color w:val="1F497D"/>
    </w:rPr>
  </w:style>
  <w:style w:type="paragraph" w:styleId="Didascalia">
    <w:name w:val="caption"/>
    <w:basedOn w:val="Normale"/>
    <w:next w:val="Normale"/>
    <w:rsid w:val="00C77F14"/>
    <w:pPr>
      <w:suppressAutoHyphens/>
      <w:autoSpaceDN w:val="0"/>
      <w:spacing w:after="120"/>
      <w:textAlignment w:val="baseline"/>
    </w:pPr>
    <w:rPr>
      <w:rFonts w:ascii="Calibri" w:eastAsia="Times New Roman" w:hAnsi="Calibri"/>
      <w:b/>
      <w:bCs/>
      <w:smallCaps/>
      <w:color w:val="595959"/>
      <w:spacing w:val="6"/>
      <w:szCs w:val="20"/>
      <w:lang w:eastAsia="en-US"/>
    </w:rPr>
  </w:style>
  <w:style w:type="paragraph" w:styleId="Titolo">
    <w:name w:val="Title"/>
    <w:basedOn w:val="Normale"/>
    <w:next w:val="Normale"/>
    <w:autoRedefine/>
    <w:rsid w:val="00C77F14"/>
    <w:pPr>
      <w:suppressAutoHyphens/>
      <w:autoSpaceDN w:val="0"/>
      <w:textAlignment w:val="baseline"/>
    </w:pPr>
    <w:rPr>
      <w:rFonts w:ascii="Calibri" w:eastAsia="Times New Roman" w:hAnsi="Calibri"/>
      <w:color w:val="0091FF"/>
      <w:spacing w:val="-10"/>
      <w:sz w:val="56"/>
      <w:szCs w:val="56"/>
      <w:lang w:eastAsia="en-US"/>
    </w:rPr>
  </w:style>
  <w:style w:type="character" w:customStyle="1" w:styleId="TitoloCarattere">
    <w:name w:val="Titolo Carattere"/>
    <w:rsid w:val="00C77F14"/>
    <w:rPr>
      <w:rFonts w:ascii="Arial" w:eastAsia="Times New Roman" w:hAnsi="Arial" w:cs="Times New Roman"/>
      <w:color w:val="0091FF"/>
      <w:spacing w:val="-10"/>
      <w:sz w:val="56"/>
      <w:szCs w:val="56"/>
    </w:rPr>
  </w:style>
  <w:style w:type="paragraph" w:styleId="Sottotitolo">
    <w:name w:val="Subtitle"/>
    <w:basedOn w:val="Normale"/>
    <w:next w:val="Normale"/>
    <w:autoRedefine/>
    <w:qFormat/>
    <w:rsid w:val="00C77F14"/>
    <w:pPr>
      <w:suppressAutoHyphens/>
      <w:autoSpaceDN w:val="0"/>
      <w:spacing w:after="120"/>
      <w:textAlignment w:val="baseline"/>
    </w:pPr>
    <w:rPr>
      <w:rFonts w:ascii="Calibri" w:eastAsia="Times New Roman" w:hAnsi="Calibri"/>
      <w:caps/>
      <w:color w:val="0091FF"/>
      <w:sz w:val="28"/>
      <w:lang w:eastAsia="en-US"/>
    </w:rPr>
  </w:style>
  <w:style w:type="character" w:customStyle="1" w:styleId="SottotitoloCarattere">
    <w:name w:val="Sottotitolo Carattere"/>
    <w:rsid w:val="00C77F14"/>
    <w:rPr>
      <w:caps/>
      <w:color w:val="0091FF"/>
      <w:sz w:val="24"/>
      <w:szCs w:val="24"/>
      <w:lang w:eastAsia="en-US"/>
    </w:rPr>
  </w:style>
  <w:style w:type="character" w:styleId="Enfasicorsivo">
    <w:name w:val="Emphasis"/>
    <w:qFormat/>
    <w:rsid w:val="00C77F14"/>
    <w:rPr>
      <w:rFonts w:asciiTheme="minorHAnsi" w:hAnsiTheme="minorHAnsi"/>
      <w:i/>
      <w:iCs/>
      <w:color w:val="0091FF"/>
    </w:rPr>
  </w:style>
  <w:style w:type="paragraph" w:styleId="Nessunaspaziatura">
    <w:name w:val="No Spacing"/>
    <w:link w:val="NessunaspaziaturaCarattere"/>
    <w:uiPriority w:val="1"/>
    <w:qFormat/>
    <w:rsid w:val="00C77F14"/>
    <w:pPr>
      <w:suppressAutoHyphens/>
    </w:pPr>
    <w:rPr>
      <w:lang w:eastAsia="en-US"/>
    </w:rPr>
  </w:style>
  <w:style w:type="paragraph" w:styleId="Citazione">
    <w:name w:val="Quote"/>
    <w:basedOn w:val="Normale"/>
    <w:next w:val="Normale"/>
    <w:autoRedefine/>
    <w:rsid w:val="00C77F14"/>
    <w:pPr>
      <w:suppressAutoHyphens/>
      <w:autoSpaceDN w:val="0"/>
      <w:spacing w:before="160" w:after="120" w:line="264" w:lineRule="auto"/>
      <w:ind w:left="720" w:right="720"/>
      <w:textAlignment w:val="baseline"/>
    </w:pPr>
    <w:rPr>
      <w:rFonts w:ascii="Calibri" w:eastAsia="Times New Roman" w:hAnsi="Calibri"/>
      <w:i/>
      <w:iCs/>
      <w:caps/>
      <w:color w:val="0091FF"/>
      <w:szCs w:val="20"/>
      <w:lang w:eastAsia="en-US"/>
    </w:rPr>
  </w:style>
  <w:style w:type="character" w:customStyle="1" w:styleId="CitazioneCarattere">
    <w:name w:val="Citazione Carattere"/>
    <w:rsid w:val="00C77F14"/>
    <w:rPr>
      <w:i/>
      <w:iCs/>
      <w:caps/>
      <w:color w:val="0091FF"/>
      <w:lang w:eastAsia="en-US"/>
    </w:rPr>
  </w:style>
  <w:style w:type="paragraph" w:styleId="Citazioneintensa">
    <w:name w:val="Intense Quote"/>
    <w:basedOn w:val="Normale"/>
    <w:next w:val="Normale"/>
    <w:rsid w:val="00C77F14"/>
    <w:pPr>
      <w:pBdr>
        <w:left w:val="single" w:sz="18" w:space="12" w:color="0091FF"/>
      </w:pBdr>
      <w:suppressAutoHyphens/>
      <w:autoSpaceDN w:val="0"/>
      <w:spacing w:before="100" w:after="120" w:line="300" w:lineRule="auto"/>
      <w:ind w:left="1224" w:right="1224"/>
      <w:textAlignment w:val="baseline"/>
    </w:pPr>
    <w:rPr>
      <w:rFonts w:ascii="Calibri" w:eastAsia="Times New Roman" w:hAnsi="Calibri"/>
      <w:color w:val="0091FF"/>
      <w:sz w:val="28"/>
      <w:szCs w:val="28"/>
      <w:lang w:eastAsia="en-US"/>
    </w:rPr>
  </w:style>
  <w:style w:type="character" w:customStyle="1" w:styleId="CitazioneintensaCarattere">
    <w:name w:val="Citazione intensa Carattere"/>
    <w:rsid w:val="00C77F14"/>
    <w:rPr>
      <w:rFonts w:ascii="Arial" w:eastAsia="Times New Roman" w:hAnsi="Arial" w:cs="Times New Roman"/>
      <w:color w:val="0091FF"/>
      <w:sz w:val="28"/>
      <w:szCs w:val="28"/>
    </w:rPr>
  </w:style>
  <w:style w:type="character" w:styleId="Enfasidelicata">
    <w:name w:val="Subtle Emphasis"/>
    <w:qFormat/>
    <w:rsid w:val="00C77F14"/>
    <w:rPr>
      <w:rFonts w:asciiTheme="minorHAnsi" w:hAnsiTheme="minorHAnsi"/>
      <w:i/>
      <w:iCs/>
      <w:color w:val="auto"/>
      <w:sz w:val="24"/>
    </w:rPr>
  </w:style>
  <w:style w:type="character" w:styleId="Enfasiintensa">
    <w:name w:val="Intense Emphasis"/>
    <w:rsid w:val="00C77F14"/>
    <w:rPr>
      <w:b/>
      <w:bCs/>
      <w:i/>
      <w:iCs/>
    </w:rPr>
  </w:style>
  <w:style w:type="character" w:styleId="Riferimentodelicato">
    <w:name w:val="Subtle Reference"/>
    <w:qFormat/>
    <w:rsid w:val="00C77F14"/>
    <w:rPr>
      <w:rFonts w:ascii="Calibri" w:hAnsi="Calibri"/>
      <w:b w:val="0"/>
      <w:i w:val="0"/>
      <w:caps/>
      <w:smallCaps w:val="0"/>
      <w:strike w:val="0"/>
      <w:dstrike w:val="0"/>
      <w:vanish w:val="0"/>
      <w:color w:val="5C6780"/>
      <w:sz w:val="24"/>
      <w:u w:val="single" w:color="5C6780"/>
      <w:vertAlign w:val="baseline"/>
    </w:rPr>
  </w:style>
  <w:style w:type="character" w:styleId="Riferimentointenso">
    <w:name w:val="Intense Reference"/>
    <w:qFormat/>
    <w:rsid w:val="00C77F14"/>
    <w:rPr>
      <w:rFonts w:ascii="Calibri" w:hAnsi="Calibri"/>
      <w:b/>
      <w:bCs/>
      <w:caps w:val="0"/>
      <w:smallCaps w:val="0"/>
      <w:strike w:val="0"/>
      <w:dstrike w:val="0"/>
      <w:vanish w:val="0"/>
      <w:spacing w:val="5"/>
      <w:sz w:val="24"/>
      <w:u w:val="none"/>
      <w:vertAlign w:val="baseline"/>
    </w:rPr>
  </w:style>
  <w:style w:type="character" w:styleId="Titolodellibro">
    <w:name w:val="Book Title"/>
    <w:rsid w:val="00C77F14"/>
    <w:rPr>
      <w:b/>
      <w:bCs/>
      <w:smallCaps/>
    </w:rPr>
  </w:style>
  <w:style w:type="paragraph" w:styleId="Titolosommario">
    <w:name w:val="TOC Heading"/>
    <w:basedOn w:val="Titolo1"/>
    <w:next w:val="Normale"/>
    <w:rsid w:val="00C77F14"/>
  </w:style>
  <w:style w:type="paragraph" w:styleId="Paragrafoelenco">
    <w:name w:val="List Paragraph"/>
    <w:aliases w:val="Elenchi puntati,Bullet List,FooterText,numbered,List Paragraph1,Paragraphe de liste1,lp1,Paragrafo elenco 2"/>
    <w:basedOn w:val="Normale"/>
    <w:link w:val="ParagrafoelencoCarattere"/>
    <w:uiPriority w:val="34"/>
    <w:qFormat/>
    <w:rsid w:val="00C77F14"/>
    <w:pPr>
      <w:suppressAutoHyphens/>
      <w:autoSpaceDN w:val="0"/>
      <w:spacing w:after="120" w:line="264" w:lineRule="auto"/>
      <w:ind w:left="720"/>
      <w:textAlignment w:val="baseline"/>
    </w:pPr>
    <w:rPr>
      <w:rFonts w:asciiTheme="minorHAnsi" w:eastAsia="Times New Roman" w:hAnsiTheme="minorHAnsi"/>
      <w:color w:val="000000" w:themeColor="text1"/>
      <w:szCs w:val="20"/>
      <w:lang w:eastAsia="en-US"/>
    </w:rPr>
  </w:style>
  <w:style w:type="paragraph" w:customStyle="1" w:styleId="VEM">
    <w:name w:val="VEM"/>
    <w:basedOn w:val="Paragrafoelenco"/>
    <w:rsid w:val="00C77F14"/>
    <w:pPr>
      <w:ind w:left="1134"/>
    </w:pPr>
  </w:style>
  <w:style w:type="paragraph" w:customStyle="1" w:styleId="Testo">
    <w:name w:val="Testo"/>
    <w:basedOn w:val="Normale"/>
    <w:autoRedefine/>
    <w:rsid w:val="00C77F14"/>
  </w:style>
  <w:style w:type="table" w:styleId="Grigliatabella">
    <w:name w:val="Table Grid"/>
    <w:aliases w:val="Tabella VEM - Semplice"/>
    <w:basedOn w:val="Tabellanormale"/>
    <w:rsid w:val="00C77F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1chiara-colore1">
    <w:name w:val="Grid Table 1 Light Accent 1"/>
    <w:basedOn w:val="Tabellanormale"/>
    <w:uiPriority w:val="46"/>
    <w:rsid w:val="00C77F14"/>
    <w:tblPr>
      <w:tblStyleRowBandSize w:val="1"/>
      <w:tblStyleColBandSize w:val="1"/>
      <w:tblBorders>
        <w:top w:val="single" w:sz="4" w:space="0" w:color="99D3FF" w:themeColor="accent1" w:themeTint="66"/>
        <w:left w:val="single" w:sz="4" w:space="0" w:color="99D3FF" w:themeColor="accent1" w:themeTint="66"/>
        <w:bottom w:val="single" w:sz="4" w:space="0" w:color="99D3FF" w:themeColor="accent1" w:themeTint="66"/>
        <w:right w:val="single" w:sz="4" w:space="0" w:color="99D3FF" w:themeColor="accent1" w:themeTint="66"/>
        <w:insideH w:val="single" w:sz="4" w:space="0" w:color="99D3FF" w:themeColor="accent1" w:themeTint="66"/>
        <w:insideV w:val="single" w:sz="4" w:space="0" w:color="99D3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B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B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chiara">
    <w:name w:val="Grid Table Light"/>
    <w:basedOn w:val="Tabellanormale"/>
    <w:uiPriority w:val="40"/>
    <w:rsid w:val="00C77F1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asemplice-1">
    <w:name w:val="Plain Table 1"/>
    <w:basedOn w:val="Tabellanormale"/>
    <w:uiPriority w:val="41"/>
    <w:rsid w:val="00C77F1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C77F1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-3">
    <w:name w:val="Plain Table 3"/>
    <w:basedOn w:val="Tabellanormale"/>
    <w:uiPriority w:val="43"/>
    <w:rsid w:val="00C77F1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semplice4">
    <w:name w:val="Plain Table 4"/>
    <w:basedOn w:val="Tabellanormale"/>
    <w:uiPriority w:val="44"/>
    <w:rsid w:val="00C77F1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elenco3-colore1">
    <w:name w:val="List Table 3 Accent 1"/>
    <w:basedOn w:val="Tabellanormale"/>
    <w:uiPriority w:val="48"/>
    <w:rsid w:val="00C77F14"/>
    <w:tblPr>
      <w:tblStyleRowBandSize w:val="1"/>
      <w:tblStyleColBandSize w:val="1"/>
      <w:tblBorders>
        <w:top w:val="single" w:sz="4" w:space="0" w:color="0091FF" w:themeColor="accent1"/>
        <w:left w:val="single" w:sz="4" w:space="0" w:color="0091FF" w:themeColor="accent1"/>
        <w:bottom w:val="single" w:sz="4" w:space="0" w:color="0091FF" w:themeColor="accent1"/>
        <w:right w:val="single" w:sz="4" w:space="0" w:color="0091F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91FF" w:themeFill="accent1"/>
      </w:tcPr>
    </w:tblStylePr>
    <w:tblStylePr w:type="lastRow">
      <w:rPr>
        <w:b/>
        <w:bCs/>
      </w:rPr>
      <w:tblPr/>
      <w:tcPr>
        <w:tcBorders>
          <w:top w:val="double" w:sz="4" w:space="0" w:color="0091F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91FF" w:themeColor="accent1"/>
          <w:right w:val="single" w:sz="4" w:space="0" w:color="0091FF" w:themeColor="accent1"/>
        </w:tcBorders>
      </w:tcPr>
    </w:tblStylePr>
    <w:tblStylePr w:type="band1Horz">
      <w:tblPr/>
      <w:tcPr>
        <w:tcBorders>
          <w:top w:val="single" w:sz="4" w:space="0" w:color="0091FF" w:themeColor="accent1"/>
          <w:bottom w:val="single" w:sz="4" w:space="0" w:color="0091F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1FF" w:themeColor="accent1"/>
          <w:left w:val="nil"/>
        </w:tcBorders>
      </w:tcPr>
    </w:tblStylePr>
    <w:tblStylePr w:type="swCell">
      <w:tblPr/>
      <w:tcPr>
        <w:tcBorders>
          <w:top w:val="double" w:sz="4" w:space="0" w:color="0091FF" w:themeColor="accent1"/>
          <w:right w:val="nil"/>
        </w:tcBorders>
      </w:tcPr>
    </w:tblStylePr>
  </w:style>
  <w:style w:type="table" w:styleId="Tabellagriglia2-colore1">
    <w:name w:val="Grid Table 2 Accent 1"/>
    <w:basedOn w:val="Tabellanormale"/>
    <w:uiPriority w:val="47"/>
    <w:rsid w:val="00C77F14"/>
    <w:tblPr>
      <w:tblStyleRowBandSize w:val="1"/>
      <w:tblStyleColBandSize w:val="1"/>
      <w:tblBorders>
        <w:top w:val="single" w:sz="2" w:space="0" w:color="66BDFF" w:themeColor="accent1" w:themeTint="99"/>
        <w:bottom w:val="single" w:sz="2" w:space="0" w:color="66BDFF" w:themeColor="accent1" w:themeTint="99"/>
        <w:insideH w:val="single" w:sz="2" w:space="0" w:color="66BDFF" w:themeColor="accent1" w:themeTint="99"/>
        <w:insideV w:val="single" w:sz="2" w:space="0" w:color="66B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BD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BD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9FF" w:themeFill="accent1" w:themeFillTint="33"/>
      </w:tcPr>
    </w:tblStylePr>
    <w:tblStylePr w:type="band1Horz">
      <w:tblPr/>
      <w:tcPr>
        <w:shd w:val="clear" w:color="auto" w:fill="CCE9FF" w:themeFill="accent1" w:themeFillTint="33"/>
      </w:tcPr>
    </w:tblStylePr>
  </w:style>
  <w:style w:type="table" w:styleId="Tabellagriglia3-colore1">
    <w:name w:val="Grid Table 3 Accent 1"/>
    <w:basedOn w:val="Tabellanormale"/>
    <w:uiPriority w:val="48"/>
    <w:rsid w:val="00C77F14"/>
    <w:tblPr>
      <w:tblStyleRowBandSize w:val="1"/>
      <w:tblStyleColBandSize w:val="1"/>
      <w:tblBorders>
        <w:top w:val="single" w:sz="4" w:space="0" w:color="66BDFF" w:themeColor="accent1" w:themeTint="99"/>
        <w:left w:val="single" w:sz="4" w:space="0" w:color="66BDFF" w:themeColor="accent1" w:themeTint="99"/>
        <w:bottom w:val="single" w:sz="4" w:space="0" w:color="66BDFF" w:themeColor="accent1" w:themeTint="99"/>
        <w:right w:val="single" w:sz="4" w:space="0" w:color="66BDFF" w:themeColor="accent1" w:themeTint="99"/>
        <w:insideH w:val="single" w:sz="4" w:space="0" w:color="66BDFF" w:themeColor="accent1" w:themeTint="99"/>
        <w:insideV w:val="single" w:sz="4" w:space="0" w:color="66B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E9FF" w:themeFill="accent1" w:themeFillTint="33"/>
      </w:tcPr>
    </w:tblStylePr>
    <w:tblStylePr w:type="band1Horz">
      <w:tblPr/>
      <w:tcPr>
        <w:shd w:val="clear" w:color="auto" w:fill="CCE9FF" w:themeFill="accent1" w:themeFillTint="33"/>
      </w:tcPr>
    </w:tblStylePr>
    <w:tblStylePr w:type="neCell">
      <w:tblPr/>
      <w:tcPr>
        <w:tcBorders>
          <w:bottom w:val="single" w:sz="4" w:space="0" w:color="66BDFF" w:themeColor="accent1" w:themeTint="99"/>
        </w:tcBorders>
      </w:tcPr>
    </w:tblStylePr>
    <w:tblStylePr w:type="nwCell">
      <w:tblPr/>
      <w:tcPr>
        <w:tcBorders>
          <w:bottom w:val="single" w:sz="4" w:space="0" w:color="66BDFF" w:themeColor="accent1" w:themeTint="99"/>
        </w:tcBorders>
      </w:tcPr>
    </w:tblStylePr>
    <w:tblStylePr w:type="seCell">
      <w:tblPr/>
      <w:tcPr>
        <w:tcBorders>
          <w:top w:val="single" w:sz="4" w:space="0" w:color="66BDFF" w:themeColor="accent1" w:themeTint="99"/>
        </w:tcBorders>
      </w:tcPr>
    </w:tblStylePr>
    <w:tblStylePr w:type="swCell">
      <w:tblPr/>
      <w:tcPr>
        <w:tcBorders>
          <w:top w:val="single" w:sz="4" w:space="0" w:color="66BDFF" w:themeColor="accent1" w:themeTint="99"/>
        </w:tcBorders>
      </w:tcPr>
    </w:tblStylePr>
  </w:style>
  <w:style w:type="table" w:styleId="Tabellagriglia4-colore1">
    <w:name w:val="Grid Table 4 Accent 1"/>
    <w:basedOn w:val="Tabellanormale"/>
    <w:uiPriority w:val="49"/>
    <w:rsid w:val="00C77F14"/>
    <w:tblPr>
      <w:tblStyleRowBandSize w:val="1"/>
      <w:tblStyleColBandSize w:val="1"/>
      <w:tblBorders>
        <w:top w:val="single" w:sz="4" w:space="0" w:color="66BDFF" w:themeColor="accent1" w:themeTint="99"/>
        <w:left w:val="single" w:sz="4" w:space="0" w:color="66BDFF" w:themeColor="accent1" w:themeTint="99"/>
        <w:bottom w:val="single" w:sz="4" w:space="0" w:color="66BDFF" w:themeColor="accent1" w:themeTint="99"/>
        <w:right w:val="single" w:sz="4" w:space="0" w:color="66BDFF" w:themeColor="accent1" w:themeTint="99"/>
        <w:insideH w:val="single" w:sz="4" w:space="0" w:color="66BDFF" w:themeColor="accent1" w:themeTint="99"/>
        <w:insideV w:val="single" w:sz="4" w:space="0" w:color="66BD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1FF" w:themeColor="accent1"/>
          <w:left w:val="single" w:sz="4" w:space="0" w:color="0091FF" w:themeColor="accent1"/>
          <w:bottom w:val="single" w:sz="4" w:space="0" w:color="0091FF" w:themeColor="accent1"/>
          <w:right w:val="single" w:sz="4" w:space="0" w:color="0091FF" w:themeColor="accent1"/>
          <w:insideH w:val="nil"/>
          <w:insideV w:val="nil"/>
        </w:tcBorders>
        <w:shd w:val="clear" w:color="auto" w:fill="0091FF" w:themeFill="accent1"/>
      </w:tcPr>
    </w:tblStylePr>
    <w:tblStylePr w:type="lastRow">
      <w:rPr>
        <w:b/>
        <w:bCs/>
      </w:rPr>
      <w:tblPr/>
      <w:tcPr>
        <w:tcBorders>
          <w:top w:val="double" w:sz="4" w:space="0" w:color="0091F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9FF" w:themeFill="accent1" w:themeFillTint="33"/>
      </w:tcPr>
    </w:tblStylePr>
    <w:tblStylePr w:type="band1Horz">
      <w:tblPr/>
      <w:tcPr>
        <w:shd w:val="clear" w:color="auto" w:fill="CCE9FF" w:themeFill="accent1" w:themeFillTint="33"/>
      </w:tcPr>
    </w:tblStylePr>
  </w:style>
  <w:style w:type="table" w:styleId="Tabellaelenco2-colore1">
    <w:name w:val="List Table 2 Accent 1"/>
    <w:basedOn w:val="Tabellanormale"/>
    <w:uiPriority w:val="47"/>
    <w:rsid w:val="00C77F14"/>
    <w:tblPr>
      <w:tblStyleRowBandSize w:val="1"/>
      <w:tblStyleColBandSize w:val="1"/>
      <w:tblBorders>
        <w:top w:val="single" w:sz="4" w:space="0" w:color="66BDFF" w:themeColor="accent1" w:themeTint="99"/>
        <w:bottom w:val="single" w:sz="4" w:space="0" w:color="66BDFF" w:themeColor="accent1" w:themeTint="99"/>
        <w:insideH w:val="single" w:sz="4" w:space="0" w:color="66BDFF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9FF" w:themeFill="accent1" w:themeFillTint="33"/>
      </w:tcPr>
    </w:tblStylePr>
    <w:tblStylePr w:type="band1Horz">
      <w:tblPr/>
      <w:tcPr>
        <w:shd w:val="clear" w:color="auto" w:fill="CCE9FF" w:themeFill="accent1" w:themeFillTint="33"/>
      </w:tcPr>
    </w:tblStylePr>
  </w:style>
  <w:style w:type="table" w:styleId="Tabellagriglia1chiara-colore5">
    <w:name w:val="Grid Table 1 Light Accent 5"/>
    <w:basedOn w:val="Tabellanormale"/>
    <w:uiPriority w:val="46"/>
    <w:rsid w:val="00C77F14"/>
    <w:tblPr>
      <w:tblStyleRowBandSize w:val="1"/>
      <w:tblStyleColBandSize w:val="1"/>
      <w:tblBorders>
        <w:top w:val="single" w:sz="4" w:space="0" w:color="BBC1CE" w:themeColor="accent5" w:themeTint="66"/>
        <w:left w:val="single" w:sz="4" w:space="0" w:color="BBC1CE" w:themeColor="accent5" w:themeTint="66"/>
        <w:bottom w:val="single" w:sz="4" w:space="0" w:color="BBC1CE" w:themeColor="accent5" w:themeTint="66"/>
        <w:right w:val="single" w:sz="4" w:space="0" w:color="BBC1CE" w:themeColor="accent5" w:themeTint="66"/>
        <w:insideH w:val="single" w:sz="4" w:space="0" w:color="BBC1CE" w:themeColor="accent5" w:themeTint="66"/>
        <w:insideV w:val="single" w:sz="4" w:space="0" w:color="BBC1C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9A2B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9A2B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4-colore5">
    <w:name w:val="Grid Table 4 Accent 5"/>
    <w:basedOn w:val="Tabellanormale"/>
    <w:uiPriority w:val="49"/>
    <w:rsid w:val="00C77F14"/>
    <w:tblPr>
      <w:tblStyleRowBandSize w:val="1"/>
      <w:tblStyleColBandSize w:val="1"/>
      <w:tblBorders>
        <w:top w:val="single" w:sz="4" w:space="0" w:color="99A2B6" w:themeColor="accent5" w:themeTint="99"/>
        <w:left w:val="single" w:sz="4" w:space="0" w:color="99A2B6" w:themeColor="accent5" w:themeTint="99"/>
        <w:bottom w:val="single" w:sz="4" w:space="0" w:color="99A2B6" w:themeColor="accent5" w:themeTint="99"/>
        <w:right w:val="single" w:sz="4" w:space="0" w:color="99A2B6" w:themeColor="accent5" w:themeTint="99"/>
        <w:insideH w:val="single" w:sz="4" w:space="0" w:color="99A2B6" w:themeColor="accent5" w:themeTint="99"/>
        <w:insideV w:val="single" w:sz="4" w:space="0" w:color="99A2B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6780" w:themeColor="accent5"/>
          <w:left w:val="single" w:sz="4" w:space="0" w:color="5C6780" w:themeColor="accent5"/>
          <w:bottom w:val="single" w:sz="4" w:space="0" w:color="5C6780" w:themeColor="accent5"/>
          <w:right w:val="single" w:sz="4" w:space="0" w:color="5C6780" w:themeColor="accent5"/>
          <w:insideH w:val="nil"/>
          <w:insideV w:val="nil"/>
        </w:tcBorders>
        <w:shd w:val="clear" w:color="auto" w:fill="5C6780" w:themeFill="accent5"/>
      </w:tcPr>
    </w:tblStylePr>
    <w:tblStylePr w:type="lastRow">
      <w:rPr>
        <w:b/>
        <w:bCs/>
      </w:rPr>
      <w:tblPr/>
      <w:tcPr>
        <w:tcBorders>
          <w:top w:val="double" w:sz="4" w:space="0" w:color="5C678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0E6" w:themeFill="accent5" w:themeFillTint="33"/>
      </w:tcPr>
    </w:tblStylePr>
    <w:tblStylePr w:type="band1Horz">
      <w:tblPr/>
      <w:tcPr>
        <w:shd w:val="clear" w:color="auto" w:fill="DDE0E6" w:themeFill="accent5" w:themeFillTint="33"/>
      </w:tcPr>
    </w:tblStylePr>
  </w:style>
  <w:style w:type="table" w:styleId="Tabellagriglia6acolori-colore6">
    <w:name w:val="Grid Table 6 Colorful Accent 6"/>
    <w:basedOn w:val="Tabellanormale"/>
    <w:uiPriority w:val="51"/>
    <w:rsid w:val="00C77F14"/>
    <w:rPr>
      <w:color w:val="000000" w:themeColor="accent6" w:themeShade="BF"/>
    </w:rPr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Tabellagriglia6acolori-colore5">
    <w:name w:val="Grid Table 6 Colorful Accent 5"/>
    <w:basedOn w:val="Tabellanormale"/>
    <w:uiPriority w:val="51"/>
    <w:rsid w:val="00C77F14"/>
    <w:rPr>
      <w:color w:val="454D5F" w:themeColor="accent5" w:themeShade="BF"/>
    </w:rPr>
    <w:tblPr>
      <w:tblStyleRowBandSize w:val="1"/>
      <w:tblStyleColBandSize w:val="1"/>
      <w:tblBorders>
        <w:top w:val="single" w:sz="4" w:space="0" w:color="99A2B6" w:themeColor="accent5" w:themeTint="99"/>
        <w:left w:val="single" w:sz="4" w:space="0" w:color="99A2B6" w:themeColor="accent5" w:themeTint="99"/>
        <w:bottom w:val="single" w:sz="4" w:space="0" w:color="99A2B6" w:themeColor="accent5" w:themeTint="99"/>
        <w:right w:val="single" w:sz="4" w:space="0" w:color="99A2B6" w:themeColor="accent5" w:themeTint="99"/>
        <w:insideH w:val="single" w:sz="4" w:space="0" w:color="99A2B6" w:themeColor="accent5" w:themeTint="99"/>
        <w:insideV w:val="single" w:sz="4" w:space="0" w:color="99A2B6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9A2B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9A2B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0E6" w:themeFill="accent5" w:themeFillTint="33"/>
      </w:tcPr>
    </w:tblStylePr>
    <w:tblStylePr w:type="band1Horz">
      <w:tblPr/>
      <w:tcPr>
        <w:shd w:val="clear" w:color="auto" w:fill="DDE0E6" w:themeFill="accent5" w:themeFillTint="33"/>
      </w:tcPr>
    </w:tblStylePr>
  </w:style>
  <w:style w:type="table" w:styleId="Tabellagriglia6acolori-colore1">
    <w:name w:val="Grid Table 6 Colorful Accent 1"/>
    <w:basedOn w:val="Tabellanormale"/>
    <w:uiPriority w:val="51"/>
    <w:rsid w:val="00C77F14"/>
    <w:rPr>
      <w:color w:val="006CBF" w:themeColor="accent1" w:themeShade="BF"/>
    </w:rPr>
    <w:tblPr>
      <w:tblStyleRowBandSize w:val="1"/>
      <w:tblStyleColBandSize w:val="1"/>
      <w:tblBorders>
        <w:top w:val="single" w:sz="4" w:space="0" w:color="66BDFF" w:themeColor="accent1" w:themeTint="99"/>
        <w:left w:val="single" w:sz="4" w:space="0" w:color="66BDFF" w:themeColor="accent1" w:themeTint="99"/>
        <w:bottom w:val="single" w:sz="4" w:space="0" w:color="66BDFF" w:themeColor="accent1" w:themeTint="99"/>
        <w:right w:val="single" w:sz="4" w:space="0" w:color="66BDFF" w:themeColor="accent1" w:themeTint="99"/>
        <w:insideH w:val="single" w:sz="4" w:space="0" w:color="66BDFF" w:themeColor="accent1" w:themeTint="99"/>
        <w:insideV w:val="single" w:sz="4" w:space="0" w:color="66BDFF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B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B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9FF" w:themeFill="accent1" w:themeFillTint="33"/>
      </w:tcPr>
    </w:tblStylePr>
    <w:tblStylePr w:type="band1Horz">
      <w:tblPr/>
      <w:tcPr>
        <w:shd w:val="clear" w:color="auto" w:fill="CCE9FF" w:themeFill="accent1" w:themeFillTint="33"/>
      </w:tcPr>
    </w:tblStylePr>
  </w:style>
  <w:style w:type="table" w:styleId="Tabellagriglia2-colore5">
    <w:name w:val="Grid Table 2 Accent 5"/>
    <w:basedOn w:val="Tabellanormale"/>
    <w:uiPriority w:val="47"/>
    <w:rsid w:val="00C77F14"/>
    <w:tblPr>
      <w:tblStyleRowBandSize w:val="1"/>
      <w:tblStyleColBandSize w:val="1"/>
      <w:tblBorders>
        <w:top w:val="single" w:sz="2" w:space="0" w:color="99A2B6" w:themeColor="accent5" w:themeTint="99"/>
        <w:bottom w:val="single" w:sz="2" w:space="0" w:color="99A2B6" w:themeColor="accent5" w:themeTint="99"/>
        <w:insideH w:val="single" w:sz="2" w:space="0" w:color="99A2B6" w:themeColor="accent5" w:themeTint="99"/>
        <w:insideV w:val="single" w:sz="2" w:space="0" w:color="99A2B6" w:themeColor="accent5" w:themeTint="99"/>
      </w:tblBorders>
    </w:tblPr>
    <w:tcPr>
      <w:vAlign w:val="center"/>
    </w:tcPr>
    <w:tblStylePr w:type="firstRow">
      <w:rPr>
        <w:b/>
        <w:bCs/>
      </w:rPr>
      <w:tblPr/>
      <w:tcPr>
        <w:tcBorders>
          <w:top w:val="nil"/>
          <w:bottom w:val="single" w:sz="12" w:space="0" w:color="99A2B6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9A2B6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0E6" w:themeFill="accent5" w:themeFillTint="33"/>
      </w:tcPr>
    </w:tblStylePr>
    <w:tblStylePr w:type="band1Horz">
      <w:tblPr/>
      <w:tcPr>
        <w:shd w:val="clear" w:color="auto" w:fill="DDE0E6" w:themeFill="accent5" w:themeFillTint="33"/>
      </w:tcPr>
    </w:tblStylePr>
  </w:style>
  <w:style w:type="table" w:styleId="Tabellagriglia7acolori-colore1">
    <w:name w:val="Grid Table 7 Colorful Accent 1"/>
    <w:basedOn w:val="Tabellanormale"/>
    <w:uiPriority w:val="52"/>
    <w:rsid w:val="00C77F14"/>
    <w:rPr>
      <w:color w:val="006CBF" w:themeColor="accent1" w:themeShade="BF"/>
    </w:rPr>
    <w:tblPr>
      <w:tblStyleRowBandSize w:val="1"/>
      <w:tblStyleColBandSize w:val="1"/>
      <w:tblBorders>
        <w:top w:val="single" w:sz="4" w:space="0" w:color="66BDFF" w:themeColor="accent1" w:themeTint="99"/>
        <w:left w:val="single" w:sz="4" w:space="0" w:color="66BDFF" w:themeColor="accent1" w:themeTint="99"/>
        <w:bottom w:val="single" w:sz="4" w:space="0" w:color="66BDFF" w:themeColor="accent1" w:themeTint="99"/>
        <w:right w:val="single" w:sz="4" w:space="0" w:color="66BDFF" w:themeColor="accent1" w:themeTint="99"/>
        <w:insideH w:val="single" w:sz="4" w:space="0" w:color="66BDFF" w:themeColor="accent1" w:themeTint="99"/>
        <w:insideV w:val="single" w:sz="4" w:space="0" w:color="66B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E9FF" w:themeFill="accent1" w:themeFillTint="33"/>
      </w:tcPr>
    </w:tblStylePr>
    <w:tblStylePr w:type="band1Horz">
      <w:tblPr/>
      <w:tcPr>
        <w:shd w:val="clear" w:color="auto" w:fill="CCE9FF" w:themeFill="accent1" w:themeFillTint="33"/>
      </w:tcPr>
    </w:tblStylePr>
    <w:tblStylePr w:type="neCell">
      <w:tblPr/>
      <w:tcPr>
        <w:tcBorders>
          <w:bottom w:val="single" w:sz="4" w:space="0" w:color="66BDFF" w:themeColor="accent1" w:themeTint="99"/>
        </w:tcBorders>
      </w:tcPr>
    </w:tblStylePr>
    <w:tblStylePr w:type="nwCell">
      <w:tblPr/>
      <w:tcPr>
        <w:tcBorders>
          <w:bottom w:val="single" w:sz="4" w:space="0" w:color="66BDFF" w:themeColor="accent1" w:themeTint="99"/>
        </w:tcBorders>
      </w:tcPr>
    </w:tblStylePr>
    <w:tblStylePr w:type="seCell">
      <w:tblPr/>
      <w:tcPr>
        <w:tcBorders>
          <w:top w:val="single" w:sz="4" w:space="0" w:color="66BDFF" w:themeColor="accent1" w:themeTint="99"/>
        </w:tcBorders>
      </w:tcPr>
    </w:tblStylePr>
    <w:tblStylePr w:type="swCell">
      <w:tblPr/>
      <w:tcPr>
        <w:tcBorders>
          <w:top w:val="single" w:sz="4" w:space="0" w:color="66BDFF" w:themeColor="accent1" w:themeTint="99"/>
        </w:tcBorders>
      </w:tcPr>
    </w:tblStylePr>
  </w:style>
  <w:style w:type="table" w:styleId="Tabellaelenco1chiara-colore1">
    <w:name w:val="List Table 1 Light Accent 1"/>
    <w:basedOn w:val="Tabellanormale"/>
    <w:uiPriority w:val="46"/>
    <w:rsid w:val="00C77F1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B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B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9FF" w:themeFill="accent1" w:themeFillTint="33"/>
      </w:tcPr>
    </w:tblStylePr>
    <w:tblStylePr w:type="band1Horz">
      <w:tblPr/>
      <w:tcPr>
        <w:shd w:val="clear" w:color="auto" w:fill="CCE9FF" w:themeFill="accent1" w:themeFillTint="33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C77F1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77F14"/>
    <w:pPr>
      <w:suppressAutoHyphens/>
      <w:autoSpaceDN w:val="0"/>
      <w:spacing w:after="120"/>
      <w:textAlignment w:val="baseline"/>
    </w:pPr>
    <w:rPr>
      <w:rFonts w:ascii="Calibri" w:eastAsia="Times New Roman" w:hAnsi="Calibri"/>
      <w:color w:val="000000" w:themeColor="text1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77F14"/>
    <w:rPr>
      <w:rFonts w:ascii="Calibri" w:hAnsi="Calibri"/>
      <w:color w:val="000000" w:themeColor="text1"/>
      <w:sz w:val="24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77F1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77F14"/>
    <w:rPr>
      <w:rFonts w:ascii="Calibri" w:hAnsi="Calibri"/>
      <w:b/>
      <w:bCs/>
      <w:color w:val="000000" w:themeColor="text1"/>
      <w:sz w:val="24"/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C77F14"/>
    <w:pPr>
      <w:suppressAutoHyphens/>
      <w:autoSpaceDN w:val="0"/>
      <w:textAlignment w:val="baseline"/>
    </w:pPr>
    <w:rPr>
      <w:rFonts w:ascii="Calibri" w:eastAsia="Times New Roman" w:hAnsi="Calibri"/>
      <w:color w:val="000000" w:themeColor="text1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C77F14"/>
    <w:rPr>
      <w:rFonts w:ascii="Calibri" w:hAnsi="Calibri"/>
      <w:color w:val="000000" w:themeColor="text1"/>
      <w:sz w:val="24"/>
      <w:lang w:eastAsia="en-US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C77F14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77F14"/>
    <w:pPr>
      <w:suppressAutoHyphens/>
      <w:autoSpaceDN w:val="0"/>
      <w:textAlignment w:val="baseline"/>
    </w:pPr>
    <w:rPr>
      <w:rFonts w:ascii="Calibri" w:eastAsia="Times New Roman" w:hAnsi="Calibri"/>
      <w:color w:val="000000" w:themeColor="text1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77F14"/>
    <w:rPr>
      <w:rFonts w:ascii="Calibri" w:hAnsi="Calibri"/>
      <w:color w:val="000000" w:themeColor="text1"/>
      <w:sz w:val="24"/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77F14"/>
    <w:rPr>
      <w:vertAlign w:val="superscript"/>
    </w:rPr>
  </w:style>
  <w:style w:type="paragraph" w:customStyle="1" w:styleId="Elencopuntato">
    <w:name w:val="Elenco puntato"/>
    <w:basedOn w:val="Paragrafoelenco"/>
    <w:link w:val="ElencopuntatoCarattere"/>
    <w:qFormat/>
    <w:rsid w:val="00C77F14"/>
    <w:pPr>
      <w:numPr>
        <w:numId w:val="13"/>
      </w:numPr>
    </w:pPr>
  </w:style>
  <w:style w:type="paragraph" w:customStyle="1" w:styleId="ElencoNumerato">
    <w:name w:val="Elenco Numerato"/>
    <w:basedOn w:val="Paragrafoelenco"/>
    <w:link w:val="ElencoNumeratoCarattere"/>
    <w:qFormat/>
    <w:rsid w:val="00C77F14"/>
    <w:pPr>
      <w:numPr>
        <w:numId w:val="12"/>
      </w:numPr>
    </w:pPr>
  </w:style>
  <w:style w:type="character" w:customStyle="1" w:styleId="ParagrafoelencoCarattere">
    <w:name w:val="Paragrafo elenco Carattere"/>
    <w:aliases w:val="Elenchi puntati Carattere,Bullet List Carattere,FooterText Carattere,numbered Carattere,List Paragraph1 Carattere,Paragraphe de liste1 Carattere,lp1 Carattere,Paragrafo elenco 2 Carattere"/>
    <w:basedOn w:val="Carpredefinitoparagrafo"/>
    <w:link w:val="Paragrafoelenco"/>
    <w:uiPriority w:val="34"/>
    <w:rsid w:val="00C77F14"/>
    <w:rPr>
      <w:rFonts w:asciiTheme="minorHAnsi" w:hAnsiTheme="minorHAnsi"/>
      <w:color w:val="000000" w:themeColor="text1"/>
      <w:sz w:val="24"/>
      <w:lang w:eastAsia="en-US"/>
    </w:rPr>
  </w:style>
  <w:style w:type="character" w:customStyle="1" w:styleId="ElencopuntatoCarattere">
    <w:name w:val="Elenco puntato Carattere"/>
    <w:basedOn w:val="ParagrafoelencoCarattere"/>
    <w:link w:val="Elencopuntato"/>
    <w:rsid w:val="00C77F14"/>
    <w:rPr>
      <w:rFonts w:asciiTheme="minorHAnsi" w:hAnsiTheme="minorHAnsi"/>
      <w:color w:val="000000" w:themeColor="text1"/>
      <w:sz w:val="24"/>
      <w:lang w:eastAsia="en-US"/>
    </w:rPr>
  </w:style>
  <w:style w:type="character" w:customStyle="1" w:styleId="ElencoNumeratoCarattere">
    <w:name w:val="Elenco Numerato Carattere"/>
    <w:basedOn w:val="ParagrafoelencoCarattere"/>
    <w:link w:val="ElencoNumerato"/>
    <w:rsid w:val="00C77F14"/>
    <w:rPr>
      <w:rFonts w:asciiTheme="minorHAnsi" w:hAnsiTheme="minorHAnsi"/>
      <w:color w:val="000000" w:themeColor="text1"/>
      <w:sz w:val="24"/>
      <w:lang w:eastAsia="en-US"/>
    </w:rPr>
  </w:style>
  <w:style w:type="character" w:styleId="Enfasigrassetto">
    <w:name w:val="Strong"/>
    <w:basedOn w:val="Carpredefinitoparagrafo"/>
    <w:uiPriority w:val="22"/>
    <w:qFormat/>
    <w:rsid w:val="00C77F14"/>
    <w:rPr>
      <w:rFonts w:ascii="Calibri" w:hAnsi="Calibri"/>
      <w:b/>
      <w:bCs/>
    </w:rPr>
  </w:style>
  <w:style w:type="paragraph" w:customStyle="1" w:styleId="Titolo6grigio">
    <w:name w:val="Titolo 6 grigio"/>
    <w:basedOn w:val="Normale"/>
    <w:link w:val="Titolo6grigioCarattere"/>
    <w:rsid w:val="00C77F14"/>
    <w:rPr>
      <w:b/>
      <w:color w:val="5C6780" w:themeColor="accent5"/>
    </w:rPr>
  </w:style>
  <w:style w:type="character" w:customStyle="1" w:styleId="Titolo6grigioCarattere">
    <w:name w:val="Titolo 6 grigio Carattere"/>
    <w:basedOn w:val="Carpredefinitoparagrafo"/>
    <w:link w:val="Titolo6grigio"/>
    <w:rsid w:val="00C77F14"/>
    <w:rPr>
      <w:rFonts w:ascii="Calibri" w:hAnsi="Calibri"/>
      <w:b/>
      <w:color w:val="5C6780" w:themeColor="accent5"/>
      <w:sz w:val="24"/>
      <w:lang w:eastAsia="en-US"/>
    </w:rPr>
  </w:style>
  <w:style w:type="paragraph" w:customStyle="1" w:styleId="TitoloOfferta">
    <w:name w:val="Titolo Offerta"/>
    <w:basedOn w:val="Normale"/>
    <w:link w:val="TitoloOffertaCarattere"/>
    <w:qFormat/>
    <w:rsid w:val="00C77F14"/>
    <w:pPr>
      <w:spacing w:before="120" w:after="120" w:line="276" w:lineRule="auto"/>
      <w:contextualSpacing/>
    </w:pPr>
    <w:rPr>
      <w:rFonts w:ascii="Calibri" w:eastAsiaTheme="majorEastAsia" w:hAnsi="Calibri" w:cstheme="majorBidi"/>
      <w:b/>
      <w:color w:val="0091FF" w:themeColor="accent1"/>
      <w:spacing w:val="-10"/>
      <w:kern w:val="28"/>
      <w:sz w:val="56"/>
      <w:szCs w:val="48"/>
      <w:lang w:eastAsia="en-US"/>
    </w:rPr>
  </w:style>
  <w:style w:type="character" w:customStyle="1" w:styleId="TitoloOffertaCarattere">
    <w:name w:val="Titolo Offerta Carattere"/>
    <w:basedOn w:val="Carpredefinitoparagrafo"/>
    <w:link w:val="TitoloOfferta"/>
    <w:rsid w:val="00C77F14"/>
    <w:rPr>
      <w:rFonts w:ascii="Calibri" w:eastAsiaTheme="majorEastAsia" w:hAnsi="Calibri" w:cstheme="majorBidi"/>
      <w:b/>
      <w:color w:val="0091FF" w:themeColor="accent1"/>
      <w:spacing w:val="-10"/>
      <w:kern w:val="28"/>
      <w:sz w:val="56"/>
      <w:szCs w:val="48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C77F14"/>
    <w:rPr>
      <w:color w:val="808080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77F14"/>
    <w:pPr>
      <w:suppressAutoHyphens/>
      <w:autoSpaceDN w:val="0"/>
      <w:spacing w:after="120" w:line="264" w:lineRule="auto"/>
      <w:textAlignment w:val="baseline"/>
    </w:pPr>
    <w:rPr>
      <w:rFonts w:ascii="Calibri" w:eastAsia="Times New Roman" w:hAnsi="Calibri"/>
      <w:color w:val="000000" w:themeColor="text1"/>
      <w:szCs w:val="20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77F14"/>
    <w:rPr>
      <w:rFonts w:ascii="Calibri" w:hAnsi="Calibri"/>
      <w:color w:val="000000" w:themeColor="text1"/>
      <w:sz w:val="24"/>
      <w:lang w:eastAsia="en-US"/>
    </w:rPr>
  </w:style>
  <w:style w:type="paragraph" w:customStyle="1" w:styleId="Corpotesto1">
    <w:name w:val="Corpo testo1"/>
    <w:basedOn w:val="Corpotesto"/>
    <w:rsid w:val="00C77F14"/>
    <w:pPr>
      <w:suppressAutoHyphens w:val="0"/>
      <w:autoSpaceDN/>
      <w:spacing w:after="0" w:line="240" w:lineRule="auto"/>
      <w:ind w:left="284"/>
      <w:jc w:val="both"/>
      <w:textAlignment w:val="auto"/>
    </w:pPr>
    <w:rPr>
      <w:rFonts w:ascii="Trebuchet MS" w:hAnsi="Trebuchet MS" w:cs="Tahoma"/>
      <w:color w:val="auto"/>
      <w:sz w:val="20"/>
      <w:szCs w:val="24"/>
      <w:lang w:eastAsia="it-IT"/>
    </w:rPr>
  </w:style>
  <w:style w:type="paragraph" w:customStyle="1" w:styleId="Default">
    <w:name w:val="Default"/>
    <w:rsid w:val="00C77F14"/>
    <w:pPr>
      <w:widowControl w:val="0"/>
      <w:autoSpaceDE w:val="0"/>
      <w:adjustRightInd w:val="0"/>
      <w:textAlignment w:val="auto"/>
    </w:pPr>
    <w:rPr>
      <w:rFonts w:eastAsiaTheme="minorEastAsia" w:cs="Arial"/>
      <w:color w:val="000000"/>
      <w:sz w:val="24"/>
      <w:szCs w:val="24"/>
    </w:rPr>
  </w:style>
  <w:style w:type="character" w:customStyle="1" w:styleId="Keywords">
    <w:name w:val="Keywords"/>
    <w:basedOn w:val="Carpredefinitoparagrafo"/>
    <w:uiPriority w:val="7"/>
    <w:qFormat/>
    <w:rsid w:val="00C77F14"/>
    <w:rPr>
      <w:rFonts w:ascii="Trebuchet MS" w:hAnsi="Trebuchet MS"/>
      <w:b/>
      <w:sz w:val="20"/>
      <w:lang w:val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C77F14"/>
    <w:rPr>
      <w:lang w:eastAsia="en-US"/>
    </w:rPr>
  </w:style>
  <w:style w:type="paragraph" w:styleId="Sommario2">
    <w:name w:val="toc 2"/>
    <w:basedOn w:val="Normale"/>
    <w:next w:val="Normale"/>
    <w:autoRedefine/>
    <w:uiPriority w:val="39"/>
    <w:semiHidden/>
    <w:unhideWhenUsed/>
    <w:rsid w:val="00C77F14"/>
    <w:pPr>
      <w:suppressAutoHyphens/>
      <w:autoSpaceDN w:val="0"/>
      <w:spacing w:after="100" w:line="264" w:lineRule="auto"/>
      <w:ind w:left="240"/>
      <w:textAlignment w:val="baseline"/>
    </w:pPr>
    <w:rPr>
      <w:rFonts w:ascii="Calibri" w:eastAsia="Times New Roman" w:hAnsi="Calibri"/>
      <w:color w:val="000000" w:themeColor="text1"/>
      <w:szCs w:val="20"/>
      <w:lang w:eastAsia="en-US"/>
    </w:rPr>
  </w:style>
  <w:style w:type="paragraph" w:styleId="Sommario3">
    <w:name w:val="toc 3"/>
    <w:basedOn w:val="Normale"/>
    <w:next w:val="Normale"/>
    <w:autoRedefine/>
    <w:uiPriority w:val="39"/>
    <w:semiHidden/>
    <w:unhideWhenUsed/>
    <w:rsid w:val="00C77F14"/>
    <w:pPr>
      <w:suppressAutoHyphens/>
      <w:autoSpaceDN w:val="0"/>
      <w:spacing w:after="100" w:line="264" w:lineRule="auto"/>
      <w:ind w:left="480"/>
      <w:textAlignment w:val="baseline"/>
    </w:pPr>
    <w:rPr>
      <w:rFonts w:ascii="Calibri" w:eastAsia="Times New Roman" w:hAnsi="Calibri"/>
      <w:color w:val="000000" w:themeColor="text1"/>
      <w:szCs w:val="20"/>
      <w:lang w:eastAsia="en-US"/>
    </w:rPr>
  </w:style>
  <w:style w:type="table" w:customStyle="1" w:styleId="TabellaVEM-Semplice1">
    <w:name w:val="Tabella VEM - Semplice1"/>
    <w:basedOn w:val="Tabellanormale"/>
    <w:next w:val="Grigliatabella"/>
    <w:rsid w:val="00C77F14"/>
    <w:pPr>
      <w:autoSpaceDN/>
      <w:spacing w:line="288" w:lineRule="auto"/>
      <w:textAlignment w:val="auto"/>
    </w:pPr>
    <w:rPr>
      <w:rFonts w:ascii="Trebuchet MS" w:eastAsiaTheme="minorHAnsi" w:hAnsi="Trebuchet MS"/>
      <w:lang w:val="en-US" w:eastAsia="en-US"/>
    </w:rPr>
    <w:tblPr>
      <w:tblInd w:w="113" w:type="dxa"/>
      <w:tblBorders>
        <w:bottom w:val="single" w:sz="4" w:space="0" w:color="9C9C9C"/>
        <w:insideH w:val="single" w:sz="4" w:space="0" w:color="9C9C9C"/>
      </w:tblBorders>
    </w:tblPr>
    <w:tcPr>
      <w:shd w:val="clear" w:color="auto" w:fill="FFFFFF"/>
      <w:vAlign w:val="center"/>
    </w:tcPr>
    <w:tblStylePr w:type="firstRow">
      <w:pPr>
        <w:jc w:val="left"/>
      </w:pPr>
      <w:rPr>
        <w:b/>
        <w:color w:val="auto"/>
        <w:sz w:val="22"/>
      </w:rPr>
      <w:tblPr>
        <w:jc w:val="left"/>
      </w:tblPr>
      <w:trPr>
        <w:jc w:val="left"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C9C9C"/>
      </w:tcPr>
    </w:tblStylePr>
    <w:tblStylePr w:type="lastRow">
      <w:pPr>
        <w:jc w:val="left"/>
      </w:pPr>
      <w:tblPr/>
      <w:tcPr>
        <w:tcBorders>
          <w:bottom w:val="nil"/>
        </w:tcBorders>
      </w:tcPr>
    </w:tblStylePr>
    <w:tblStylePr w:type="firstCol">
      <w:rPr>
        <w:b/>
        <w:sz w:val="20"/>
      </w:rPr>
    </w:tblStylePr>
  </w:style>
  <w:style w:type="table" w:customStyle="1" w:styleId="TabellaVEM-Semplice2">
    <w:name w:val="Tabella VEM - Semplice2"/>
    <w:basedOn w:val="Tabellanormale"/>
    <w:next w:val="Grigliatabella"/>
    <w:rsid w:val="00C77F14"/>
    <w:pPr>
      <w:autoSpaceDN/>
      <w:spacing w:line="288" w:lineRule="auto"/>
      <w:textAlignment w:val="auto"/>
    </w:pPr>
    <w:rPr>
      <w:rFonts w:ascii="Trebuchet MS" w:eastAsiaTheme="minorHAnsi" w:hAnsi="Trebuchet MS"/>
      <w:lang w:val="en-US" w:eastAsia="en-US"/>
    </w:rPr>
    <w:tblPr>
      <w:tblInd w:w="113" w:type="dxa"/>
      <w:tblBorders>
        <w:bottom w:val="single" w:sz="4" w:space="0" w:color="9C9C9C"/>
        <w:insideH w:val="single" w:sz="4" w:space="0" w:color="9C9C9C"/>
      </w:tblBorders>
    </w:tblPr>
    <w:tcPr>
      <w:shd w:val="clear" w:color="auto" w:fill="FFFFFF"/>
      <w:vAlign w:val="center"/>
    </w:tcPr>
    <w:tblStylePr w:type="firstRow">
      <w:pPr>
        <w:jc w:val="left"/>
      </w:pPr>
      <w:rPr>
        <w:b/>
        <w:color w:val="auto"/>
        <w:sz w:val="22"/>
      </w:rPr>
      <w:tblPr>
        <w:jc w:val="left"/>
      </w:tblPr>
      <w:trPr>
        <w:jc w:val="left"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C9C9C"/>
      </w:tcPr>
    </w:tblStylePr>
    <w:tblStylePr w:type="lastRow">
      <w:pPr>
        <w:jc w:val="left"/>
      </w:pPr>
      <w:tblPr/>
      <w:tcPr>
        <w:tcBorders>
          <w:bottom w:val="nil"/>
        </w:tcBorders>
      </w:tcPr>
    </w:tblStylePr>
    <w:tblStylePr w:type="firstCol">
      <w:rPr>
        <w:b/>
        <w:sz w:val="20"/>
      </w:rPr>
    </w:tblStylePr>
  </w:style>
  <w:style w:type="paragraph" w:customStyle="1" w:styleId="TitoloTabella">
    <w:name w:val="Titolo Tabella"/>
    <w:basedOn w:val="Normale"/>
    <w:link w:val="TitoloTabellaCarattere"/>
    <w:uiPriority w:val="6"/>
    <w:qFormat/>
    <w:rsid w:val="00C77F14"/>
    <w:pPr>
      <w:spacing w:before="200" w:after="200" w:line="288" w:lineRule="auto"/>
    </w:pPr>
    <w:rPr>
      <w:rFonts w:ascii="Trebuchet MS" w:hAnsi="Trebuchet MS"/>
      <w:b/>
      <w:noProof/>
      <w:sz w:val="20"/>
      <w:szCs w:val="20"/>
      <w:lang w:val="en-US"/>
    </w:rPr>
  </w:style>
  <w:style w:type="character" w:customStyle="1" w:styleId="TitoloTabellaCarattere">
    <w:name w:val="Titolo Tabella Carattere"/>
    <w:basedOn w:val="Carpredefinitoparagrafo"/>
    <w:link w:val="TitoloTabella"/>
    <w:uiPriority w:val="6"/>
    <w:rsid w:val="00C77F14"/>
    <w:rPr>
      <w:rFonts w:ascii="Trebuchet MS" w:eastAsiaTheme="minorHAnsi" w:hAnsi="Trebuchet MS"/>
      <w:b/>
      <w:noProof/>
      <w:lang w:val="en-US"/>
    </w:rPr>
  </w:style>
  <w:style w:type="paragraph" w:styleId="NormaleWeb">
    <w:name w:val="Normal (Web)"/>
    <w:basedOn w:val="Normale"/>
    <w:uiPriority w:val="99"/>
    <w:semiHidden/>
    <w:unhideWhenUsed/>
    <w:rsid w:val="00E35965"/>
    <w:pPr>
      <w:spacing w:before="100" w:beforeAutospacing="1" w:after="100" w:afterAutospacing="1"/>
    </w:pPr>
    <w:rPr>
      <w:rFonts w:eastAsia="Times New Roman"/>
    </w:rPr>
  </w:style>
  <w:style w:type="character" w:styleId="Collegamentoipertestuale">
    <w:name w:val="Hyperlink"/>
    <w:basedOn w:val="Carpredefinitoparagrafo"/>
    <w:uiPriority w:val="99"/>
    <w:semiHidden/>
    <w:unhideWhenUsed/>
    <w:rsid w:val="00E359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5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osservatori.net/it_it/osservatori/cloud-transformation" TargetMode="External"/></Relationships>
</file>

<file path=word/theme/theme1.xml><?xml version="1.0" encoding="utf-8"?>
<a:theme xmlns:a="http://schemas.openxmlformats.org/drawingml/2006/main" name="Tema di Office">
  <a:themeElements>
    <a:clrScheme name="VEM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91FF"/>
      </a:accent1>
      <a:accent2>
        <a:srgbClr val="E3FA38"/>
      </a:accent2>
      <a:accent3>
        <a:srgbClr val="E47B7F"/>
      </a:accent3>
      <a:accent4>
        <a:srgbClr val="7BE1AE"/>
      </a:accent4>
      <a:accent5>
        <a:srgbClr val="5C6780"/>
      </a:accent5>
      <a:accent6>
        <a:srgbClr val="000000"/>
      </a:accent6>
      <a:hlink>
        <a:srgbClr val="5C6780"/>
      </a:hlink>
      <a:folHlink>
        <a:srgbClr val="0091F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98CE6-267B-438D-ACD8-0749CCEE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1080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Bubani</dc:creator>
  <cp:keywords/>
  <dc:description/>
  <cp:lastModifiedBy>Monica Fecchio</cp:lastModifiedBy>
  <cp:revision>5</cp:revision>
  <cp:lastPrinted>2017-08-18T15:08:00Z</cp:lastPrinted>
  <dcterms:created xsi:type="dcterms:W3CDTF">2019-02-25T17:33:00Z</dcterms:created>
  <dcterms:modified xsi:type="dcterms:W3CDTF">2019-06-18T11:03:00Z</dcterms:modified>
</cp:coreProperties>
</file>